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F854C4">
      <w:pPr>
        <w:pStyle w:val="2"/>
        <w:jc w:val="center"/>
        <w:rPr>
          <w:rFonts w:hint="default" w:eastAsia="微软雅黑"/>
          <w:i w:val="0"/>
          <w:iCs w:val="0"/>
          <w:lang w:val="en-US" w:eastAsia="zh-CN"/>
        </w:rPr>
      </w:pPr>
      <w:r>
        <w:rPr>
          <w:i w:val="0"/>
          <w:iCs w:val="0"/>
        </w:rPr>
        <w:t>动物饲料供应</w:t>
      </w:r>
      <w:r>
        <w:rPr>
          <w:rFonts w:hint="eastAsia"/>
          <w:i w:val="0"/>
          <w:iCs w:val="0"/>
          <w:lang w:val="en-US" w:eastAsia="zh-CN"/>
        </w:rPr>
        <w:t>框架合同</w:t>
      </w:r>
    </w:p>
    <w:p w14:paraId="4C9853AA">
      <w:pPr>
        <w:pStyle w:val="3"/>
        <w:keepNext w:val="0"/>
        <w:keepLines w:val="0"/>
        <w:pageBreakBefore w:val="0"/>
        <w:widowControl w:val="0"/>
        <w:tabs>
          <w:tab w:val="left" w:pos="199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3" w:line="500" w:lineRule="atLeast"/>
        <w:ind w:left="0" w:right="0" w:firstLine="440" w:firstLineChars="200"/>
        <w:textAlignment w:val="auto"/>
        <w:rPr>
          <w:rFonts w:hint="default" w:eastAsia="微软雅黑"/>
          <w:i w:val="0"/>
          <w:iCs w:val="0"/>
          <w:u w:val="single"/>
          <w:lang w:val="en-US" w:eastAsia="zh-CN"/>
        </w:rPr>
      </w:pPr>
      <w:r>
        <w:rPr>
          <w:i w:val="0"/>
          <w:iCs w:val="0"/>
          <w:w w:val="105"/>
        </w:rPr>
        <w:t>甲方（采购方）：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                                                </w:t>
      </w:r>
    </w:p>
    <w:p w14:paraId="56502BE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12" w:line="335" w:lineRule="exact"/>
        <w:ind w:left="0" w:right="0" w:firstLine="440" w:firstLineChars="200"/>
        <w:textAlignment w:val="auto"/>
        <w:rPr>
          <w:rFonts w:hint="default"/>
          <w:i w:val="0"/>
          <w:iCs w:val="0"/>
          <w:lang w:val="en-US"/>
        </w:rPr>
      </w:pPr>
      <w:r>
        <w:rPr>
          <w:i w:val="0"/>
          <w:iCs w:val="0"/>
          <w:w w:val="105"/>
        </w:rPr>
        <w:t>乙方（供应方）：</w:t>
      </w:r>
      <w:r>
        <w:rPr>
          <w:rFonts w:hint="eastAsia"/>
          <w:i w:val="0"/>
          <w:iCs w:val="0"/>
          <w:w w:val="105"/>
          <w:u w:val="single"/>
          <w:lang w:val="en-US" w:eastAsia="zh-CN"/>
        </w:rPr>
        <w:t xml:space="preserve">                                                          </w:t>
      </w:r>
    </w:p>
    <w:p w14:paraId="0CD59941">
      <w:pPr>
        <w:pStyle w:val="7"/>
        <w:bidi w:val="0"/>
        <w:rPr>
          <w:rFonts w:hint="default"/>
          <w:highlight w:val="none"/>
          <w:lang w:val="en-US" w:eastAsia="zh-CN"/>
        </w:rPr>
      </w:pPr>
      <w:r>
        <w:rPr>
          <w:rFonts w:hint="eastAsia"/>
          <w:highlight w:val="none"/>
        </w:rPr>
        <w:t>甲方</w:t>
      </w:r>
      <w:r>
        <w:rPr>
          <w:rFonts w:hint="eastAsia"/>
          <w:highlight w:val="none"/>
          <w:lang w:val="en-US" w:eastAsia="zh-CN"/>
        </w:rPr>
        <w:t>自乙方</w:t>
      </w:r>
      <w:r>
        <w:rPr>
          <w:rFonts w:hint="eastAsia"/>
          <w:highlight w:val="none"/>
        </w:rPr>
        <w:t>购买</w:t>
      </w:r>
      <w:r>
        <w:rPr>
          <w:rFonts w:hint="eastAsia"/>
          <w:highlight w:val="none"/>
          <w:lang w:val="en-US" w:eastAsia="zh-CN"/>
        </w:rPr>
        <w:t>动物饲料，经</w:t>
      </w:r>
      <w:r>
        <w:rPr>
          <w:rFonts w:hint="eastAsia"/>
          <w:highlight w:val="none"/>
        </w:rPr>
        <w:t>双方协商一致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</w:rPr>
        <w:t>订立本</w:t>
      </w:r>
      <w:r>
        <w:rPr>
          <w:rFonts w:hint="eastAsia"/>
          <w:highlight w:val="none"/>
          <w:lang w:val="en-US" w:eastAsia="zh-CN"/>
        </w:rPr>
        <w:t>合同</w:t>
      </w:r>
      <w:r>
        <w:rPr>
          <w:rFonts w:hint="eastAsia"/>
          <w:highlight w:val="none"/>
          <w:lang w:eastAsia="zh-CN"/>
        </w:rPr>
        <w:t>。</w:t>
      </w:r>
      <w:r>
        <w:rPr>
          <w:rFonts w:hint="eastAsia"/>
          <w:highlight w:val="none"/>
          <w:lang w:val="en-US" w:eastAsia="zh-CN"/>
        </w:rPr>
        <w:t>本合同还包括</w:t>
      </w:r>
      <w:r>
        <w:rPr>
          <w:rFonts w:hint="eastAsia"/>
          <w:highlight w:val="none"/>
          <w:lang w:eastAsia="zh-CN"/>
        </w:rPr>
        <w:t>《供应商报名表》《产品报价单》《近三年无质量安全事故声明》</w:t>
      </w:r>
      <w:r>
        <w:rPr>
          <w:rFonts w:hint="eastAsia"/>
          <w:highlight w:val="none"/>
          <w:lang w:val="en-US" w:eastAsia="zh-CN"/>
        </w:rPr>
        <w:t>等乙方报名资料。</w:t>
      </w:r>
      <w:bookmarkStart w:id="5" w:name="_GoBack"/>
      <w:bookmarkEnd w:id="5"/>
    </w:p>
    <w:p w14:paraId="35E1D36D">
      <w:pPr>
        <w:pStyle w:val="7"/>
        <w:bidi w:val="0"/>
        <w:rPr>
          <w:rFonts w:hint="eastAsia"/>
          <w:b/>
          <w:bCs/>
          <w:highlight w:val="none"/>
        </w:rPr>
      </w:pPr>
      <w:r>
        <w:rPr>
          <w:rFonts w:hint="eastAsia"/>
          <w:b/>
          <w:bCs/>
          <w:highlight w:val="none"/>
          <w:lang w:val="en-US" w:eastAsia="zh-CN"/>
        </w:rPr>
        <w:t>一、供货</w:t>
      </w:r>
      <w:r>
        <w:rPr>
          <w:rFonts w:hint="eastAsia"/>
          <w:b/>
          <w:bCs/>
          <w:highlight w:val="none"/>
        </w:rPr>
        <w:t>要求：</w:t>
      </w:r>
    </w:p>
    <w:p w14:paraId="3B71FBA1">
      <w:pPr>
        <w:pStyle w:val="7"/>
        <w:numPr>
          <w:ilvl w:val="-1"/>
          <w:numId w:val="0"/>
        </w:numPr>
        <w:bidi w:val="0"/>
        <w:ind w:left="0" w:leftChars="0" w:firstLine="482" w:firstLineChars="200"/>
        <w:rPr>
          <w:rFonts w:hint="eastAsia"/>
          <w:b/>
          <w:bCs/>
          <w:highlight w:val="none"/>
          <w:u w:val="single"/>
          <w:lang w:val="en-US" w:eastAsia="zh-CN"/>
        </w:rPr>
      </w:pPr>
      <w:r>
        <w:rPr>
          <w:rFonts w:hint="eastAsia"/>
          <w:b/>
          <w:bCs/>
          <w:highlight w:val="none"/>
          <w:u w:val="single"/>
          <w:lang w:val="en-US" w:eastAsia="zh-CN"/>
        </w:rPr>
        <w:t>1.乙方需按照甲方要求供应动物饲料，</w:t>
      </w:r>
      <w:r>
        <w:rPr>
          <w:rFonts w:hint="eastAsia"/>
          <w:b/>
          <w:bCs/>
          <w:highlight w:val="none"/>
          <w:u w:val="single"/>
        </w:rPr>
        <w:t>须保证</w:t>
      </w:r>
      <w:r>
        <w:rPr>
          <w:rFonts w:hint="eastAsia"/>
          <w:b/>
          <w:bCs/>
          <w:highlight w:val="none"/>
          <w:u w:val="single"/>
          <w:lang w:val="en-US" w:eastAsia="zh-CN"/>
        </w:rPr>
        <w:t>饲料</w:t>
      </w:r>
      <w:r>
        <w:rPr>
          <w:rFonts w:hint="eastAsia"/>
          <w:b/>
          <w:bCs/>
          <w:highlight w:val="none"/>
          <w:u w:val="single"/>
        </w:rPr>
        <w:t>的</w:t>
      </w:r>
      <w:r>
        <w:rPr>
          <w:rFonts w:hint="eastAsia"/>
          <w:b/>
          <w:bCs/>
          <w:highlight w:val="none"/>
          <w:u w:val="single"/>
          <w:lang w:val="en-US" w:eastAsia="zh-CN"/>
        </w:rPr>
        <w:t>质量</w:t>
      </w:r>
      <w:r>
        <w:rPr>
          <w:rFonts w:hint="eastAsia"/>
          <w:b/>
          <w:bCs/>
          <w:highlight w:val="none"/>
          <w:u w:val="single"/>
        </w:rPr>
        <w:t>与</w:t>
      </w:r>
      <w:r>
        <w:rPr>
          <w:rFonts w:hint="eastAsia"/>
          <w:b/>
          <w:bCs/>
          <w:highlight w:val="none"/>
          <w:u w:val="single"/>
          <w:lang w:val="en-US" w:eastAsia="zh-CN"/>
        </w:rPr>
        <w:t>安全卫生</w:t>
      </w:r>
      <w:r>
        <w:rPr>
          <w:rFonts w:hint="eastAsia"/>
          <w:b/>
          <w:bCs/>
          <w:highlight w:val="none"/>
          <w:u w:val="single"/>
        </w:rPr>
        <w:t>，符合国家标准（GB 13078）</w:t>
      </w:r>
      <w:r>
        <w:rPr>
          <w:rFonts w:hint="eastAsia"/>
          <w:b/>
          <w:bCs/>
          <w:highlight w:val="none"/>
          <w:u w:val="single"/>
          <w:lang w:eastAsia="zh-CN"/>
        </w:rPr>
        <w:t>，</w:t>
      </w:r>
      <w:r>
        <w:rPr>
          <w:rFonts w:hint="eastAsia"/>
          <w:b/>
          <w:bCs/>
          <w:highlight w:val="none"/>
          <w:u w:val="single"/>
        </w:rPr>
        <w:t>运输到达</w:t>
      </w:r>
      <w:r>
        <w:rPr>
          <w:rFonts w:hint="eastAsia"/>
          <w:b/>
          <w:bCs/>
          <w:highlight w:val="none"/>
          <w:u w:val="single"/>
          <w:lang w:val="en-US" w:eastAsia="zh-CN"/>
        </w:rPr>
        <w:t>甲方</w:t>
      </w:r>
      <w:r>
        <w:rPr>
          <w:rFonts w:hint="eastAsia"/>
          <w:b/>
          <w:bCs/>
          <w:highlight w:val="none"/>
          <w:u w:val="single"/>
        </w:rPr>
        <w:t>景区</w:t>
      </w:r>
      <w:r>
        <w:rPr>
          <w:rFonts w:hint="eastAsia"/>
          <w:b/>
          <w:bCs/>
          <w:highlight w:val="none"/>
          <w:u w:val="single"/>
          <w:lang w:val="en-US" w:eastAsia="zh-CN"/>
        </w:rPr>
        <w:t>30日</w:t>
      </w:r>
      <w:r>
        <w:rPr>
          <w:rFonts w:hint="eastAsia"/>
          <w:b/>
          <w:bCs/>
          <w:highlight w:val="none"/>
          <w:u w:val="single"/>
        </w:rPr>
        <w:t>内</w:t>
      </w:r>
      <w:r>
        <w:rPr>
          <w:rFonts w:hint="eastAsia"/>
          <w:b/>
          <w:bCs/>
          <w:highlight w:val="none"/>
          <w:u w:val="single"/>
          <w:lang w:val="en-US" w:eastAsia="zh-CN"/>
        </w:rPr>
        <w:t>无质量问题，动物食用无健康问题</w:t>
      </w:r>
      <w:r>
        <w:rPr>
          <w:rFonts w:hint="eastAsia"/>
          <w:b/>
          <w:bCs/>
          <w:highlight w:val="none"/>
          <w:u w:val="single"/>
        </w:rPr>
        <w:t>。</w:t>
      </w:r>
    </w:p>
    <w:p w14:paraId="3FCF5D25">
      <w:pPr>
        <w:pStyle w:val="7"/>
        <w:numPr>
          <w:ilvl w:val="-1"/>
          <w:numId w:val="0"/>
        </w:numPr>
        <w:bidi w:val="0"/>
        <w:ind w:left="0" w:leftChars="0" w:firstLine="482" w:firstLineChars="200"/>
        <w:rPr>
          <w:rFonts w:hint="eastAsia"/>
          <w:b/>
          <w:bCs/>
          <w:highlight w:val="none"/>
          <w:u w:val="single"/>
        </w:rPr>
      </w:pPr>
      <w:r>
        <w:rPr>
          <w:rFonts w:hint="eastAsia"/>
          <w:b/>
          <w:bCs/>
          <w:highlight w:val="none"/>
          <w:u w:val="single"/>
          <w:lang w:val="en-US" w:eastAsia="zh-CN"/>
        </w:rPr>
        <w:t>2.</w:t>
      </w:r>
      <w:r>
        <w:rPr>
          <w:rFonts w:hint="eastAsia"/>
          <w:b/>
          <w:bCs/>
          <w:highlight w:val="none"/>
          <w:u w:val="single"/>
        </w:rPr>
        <w:t>在</w:t>
      </w:r>
      <w:r>
        <w:rPr>
          <w:rFonts w:hint="eastAsia"/>
          <w:b/>
          <w:bCs/>
          <w:highlight w:val="none"/>
          <w:u w:val="single"/>
          <w:lang w:val="en-US" w:eastAsia="zh-CN"/>
        </w:rPr>
        <w:t>动物饲料</w:t>
      </w:r>
      <w:r>
        <w:rPr>
          <w:rFonts w:hint="eastAsia"/>
          <w:b/>
          <w:bCs/>
          <w:highlight w:val="none"/>
          <w:u w:val="single"/>
        </w:rPr>
        <w:t>供应紧张的情况下，乙方应优先保供甲方所需</w:t>
      </w:r>
      <w:r>
        <w:rPr>
          <w:rFonts w:hint="eastAsia"/>
          <w:b/>
          <w:bCs/>
          <w:highlight w:val="none"/>
          <w:u w:val="single"/>
          <w:lang w:val="en-US" w:eastAsia="zh-CN"/>
        </w:rPr>
        <w:t>动物饲料</w:t>
      </w:r>
      <w:r>
        <w:rPr>
          <w:rFonts w:hint="eastAsia"/>
          <w:b/>
          <w:bCs/>
          <w:highlight w:val="none"/>
          <w:u w:val="single"/>
        </w:rPr>
        <w:t>，所供</w:t>
      </w:r>
      <w:r>
        <w:rPr>
          <w:rFonts w:hint="eastAsia"/>
          <w:b/>
          <w:bCs/>
          <w:highlight w:val="none"/>
          <w:u w:val="single"/>
          <w:lang w:val="en-US" w:eastAsia="zh-CN"/>
        </w:rPr>
        <w:t>动物饲料质量</w:t>
      </w:r>
      <w:r>
        <w:rPr>
          <w:rFonts w:hint="eastAsia"/>
          <w:b/>
          <w:bCs/>
          <w:highlight w:val="none"/>
          <w:u w:val="single"/>
        </w:rPr>
        <w:t>不减、价格不增。</w:t>
      </w:r>
    </w:p>
    <w:p w14:paraId="2A853E96">
      <w:pPr>
        <w:pStyle w:val="7"/>
        <w:numPr>
          <w:ilvl w:val="-1"/>
          <w:numId w:val="0"/>
        </w:numPr>
        <w:bidi w:val="0"/>
        <w:ind w:left="0" w:leftChars="0" w:firstLine="482" w:firstLineChars="200"/>
        <w:rPr>
          <w:rFonts w:hint="eastAsia"/>
          <w:b/>
          <w:bCs/>
          <w:highlight w:val="none"/>
          <w:u w:val="single"/>
          <w:lang w:val="en-US" w:eastAsia="zh-CN"/>
        </w:rPr>
      </w:pPr>
      <w:r>
        <w:rPr>
          <w:rFonts w:hint="eastAsia"/>
          <w:b/>
          <w:bCs/>
          <w:highlight w:val="none"/>
          <w:u w:val="single"/>
          <w:lang w:val="en-US" w:eastAsia="zh-CN"/>
        </w:rPr>
        <w:t>3.</w:t>
      </w:r>
      <w:r>
        <w:rPr>
          <w:rFonts w:hint="eastAsia"/>
          <w:b/>
          <w:bCs/>
          <w:highlight w:val="none"/>
          <w:u w:val="single"/>
        </w:rPr>
        <w:t>运输前乙方应征得甲方同意后才能发货，甲方</w:t>
      </w:r>
      <w:r>
        <w:rPr>
          <w:rFonts w:hint="eastAsia"/>
          <w:b/>
          <w:bCs/>
          <w:highlight w:val="none"/>
          <w:u w:val="single"/>
          <w:lang w:val="en-US" w:eastAsia="zh-CN"/>
        </w:rPr>
        <w:t>可指派</w:t>
      </w:r>
      <w:r>
        <w:rPr>
          <w:rFonts w:hint="eastAsia"/>
          <w:b/>
          <w:bCs/>
          <w:highlight w:val="none"/>
          <w:u w:val="single"/>
        </w:rPr>
        <w:t>工作人员现场选品</w:t>
      </w:r>
      <w:r>
        <w:rPr>
          <w:rFonts w:hint="eastAsia"/>
          <w:b/>
          <w:bCs/>
          <w:highlight w:val="none"/>
          <w:u w:val="single"/>
          <w:lang w:eastAsia="zh-CN"/>
        </w:rPr>
        <w:t>。</w:t>
      </w:r>
      <w:r>
        <w:rPr>
          <w:rFonts w:hint="eastAsia"/>
          <w:b/>
          <w:bCs/>
          <w:highlight w:val="none"/>
          <w:u w:val="single"/>
          <w:lang w:val="en-US" w:eastAsia="zh-CN"/>
        </w:rPr>
        <w:t>货到后甲方组织验收，未经甲方验收合格的饲料甲方不予结算。</w:t>
      </w:r>
    </w:p>
    <w:p w14:paraId="489F138B">
      <w:pPr>
        <w:pStyle w:val="7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80" w:firstLineChars="200"/>
        <w:textAlignment w:val="auto"/>
        <w:rPr>
          <w:rFonts w:hint="eastAsia"/>
        </w:rPr>
      </w:pPr>
      <w:bookmarkStart w:id="0" w:name="1.5_货物交付期限、地点和方式"/>
      <w:bookmarkEnd w:id="0"/>
      <w:r>
        <w:rPr>
          <w:rFonts w:hint="eastAsia"/>
          <w:b w:val="0"/>
          <w:bCs/>
          <w:highlight w:val="none"/>
          <w:lang w:val="en-US" w:eastAsia="zh-CN"/>
        </w:rPr>
        <w:t>二、</w:t>
      </w:r>
      <w:r>
        <w:rPr>
          <w:rFonts w:hint="eastAsia"/>
        </w:rPr>
        <w:t>服务期限</w:t>
      </w:r>
    </w:p>
    <w:p w14:paraId="7109B06E">
      <w:pPr>
        <w:pStyle w:val="8"/>
        <w:keepNext w:val="0"/>
        <w:keepLines w:val="0"/>
        <w:pageBreakBefore w:val="0"/>
        <w:widowControl w:val="0"/>
        <w:numPr>
          <w:ilvl w:val="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ind w:leftChars="200" w:firstLine="480" w:firstLineChars="200"/>
        <w:textAlignment w:val="auto"/>
        <w:rPr>
          <w:rFonts w:hint="eastAsia" w:eastAsia="宋体"/>
          <w:b w:val="0"/>
          <w:bCs/>
          <w:highlight w:val="none"/>
          <w:lang w:val="en-US" w:eastAsia="zh-CN"/>
        </w:rPr>
      </w:pPr>
      <w:r>
        <w:rPr>
          <w:rFonts w:hint="eastAsia"/>
          <w:b w:val="0"/>
          <w:bCs/>
          <w:highlight w:val="none"/>
        </w:rPr>
        <w:t>本协议自</w:t>
      </w:r>
      <w:r>
        <w:rPr>
          <w:rFonts w:hint="eastAsia"/>
          <w:b w:val="0"/>
          <w:bCs/>
          <w:highlight w:val="none"/>
          <w:u w:val="single"/>
        </w:rPr>
        <w:t>202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>5</w:t>
      </w:r>
      <w:r>
        <w:rPr>
          <w:rFonts w:hint="eastAsia"/>
          <w:b w:val="0"/>
          <w:bCs/>
          <w:highlight w:val="none"/>
        </w:rPr>
        <w:t>年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 w:val="0"/>
          <w:bCs/>
          <w:highlight w:val="none"/>
        </w:rPr>
        <w:t>月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 w:val="0"/>
          <w:bCs/>
          <w:highlight w:val="none"/>
        </w:rPr>
        <w:t>日起，至</w:t>
      </w:r>
      <w:r>
        <w:rPr>
          <w:rFonts w:hint="eastAsia"/>
          <w:b w:val="0"/>
          <w:bCs/>
          <w:highlight w:val="none"/>
          <w:u w:val="single"/>
        </w:rPr>
        <w:t>202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>6</w:t>
      </w:r>
      <w:r>
        <w:rPr>
          <w:rFonts w:hint="eastAsia"/>
          <w:b w:val="0"/>
          <w:bCs/>
          <w:highlight w:val="none"/>
        </w:rPr>
        <w:t>年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 w:val="0"/>
          <w:bCs/>
          <w:highlight w:val="none"/>
        </w:rPr>
        <w:t>月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 w:val="0"/>
          <w:bCs/>
          <w:highlight w:val="none"/>
        </w:rPr>
        <w:t>日截止，有效期为1年</w:t>
      </w:r>
      <w:r>
        <w:rPr>
          <w:rFonts w:hint="eastAsia"/>
          <w:b w:val="0"/>
          <w:bCs/>
          <w:highlight w:val="none"/>
          <w:lang w:eastAsia="zh-CN"/>
        </w:rPr>
        <w:t>。</w:t>
      </w:r>
    </w:p>
    <w:p w14:paraId="31DD9A5A">
      <w:pPr>
        <w:pStyle w:val="8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leftChars="0" w:firstLine="482" w:firstLineChars="200"/>
        <w:textAlignment w:val="auto"/>
        <w:rPr>
          <w:rFonts w:hint="eastAsia"/>
        </w:rPr>
      </w:pPr>
      <w:r>
        <w:rPr>
          <w:rFonts w:hint="eastAsia"/>
          <w:lang w:val="en-US" w:eastAsia="zh-CN"/>
        </w:rPr>
        <w:t>三、</w:t>
      </w:r>
      <w:r>
        <w:rPr>
          <w:rFonts w:hint="eastAsia"/>
        </w:rPr>
        <w:t>货款结算</w:t>
      </w:r>
    </w:p>
    <w:p w14:paraId="50A07B13">
      <w:pPr>
        <w:pStyle w:val="8"/>
        <w:keepNext w:val="0"/>
        <w:keepLines w:val="0"/>
        <w:pageBreakBefore w:val="0"/>
        <w:widowControl w:val="0"/>
        <w:numPr>
          <w:ilvl w:val="-1"/>
          <w:numId w:val="0"/>
        </w:numPr>
        <w:tabs>
          <w:tab w:val="left" w:pos="4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480" w:firstLineChars="200"/>
        <w:textAlignment w:val="auto"/>
        <w:rPr>
          <w:rFonts w:hint="default" w:eastAsia="宋体"/>
          <w:b w:val="0"/>
          <w:bCs/>
          <w:highlight w:val="none"/>
          <w:lang w:val="en-US" w:eastAsia="zh-CN"/>
        </w:rPr>
      </w:pPr>
      <w:r>
        <w:rPr>
          <w:rFonts w:hint="eastAsia"/>
          <w:b w:val="0"/>
          <w:bCs/>
          <w:highlight w:val="none"/>
        </w:rPr>
        <w:t>每月结算一次，结算以</w:t>
      </w:r>
      <w:r>
        <w:rPr>
          <w:rFonts w:hint="eastAsia"/>
          <w:b w:val="0"/>
          <w:bCs/>
          <w:highlight w:val="none"/>
          <w:lang w:val="en-US" w:eastAsia="zh-CN"/>
        </w:rPr>
        <w:t>甲方验</w:t>
      </w:r>
      <w:r>
        <w:rPr>
          <w:rFonts w:hint="eastAsia"/>
          <w:b w:val="0"/>
          <w:bCs/>
          <w:highlight w:val="none"/>
        </w:rPr>
        <w:t>收单为依据，双方核对确认金额无误后，乙方向甲方开具全额增值税发票，甲方收票后</w:t>
      </w:r>
      <w:r>
        <w:rPr>
          <w:rFonts w:hint="eastAsia"/>
          <w:b w:val="0"/>
          <w:bCs/>
          <w:highlight w:val="none"/>
          <w:lang w:val="en-US" w:eastAsia="zh-CN"/>
        </w:rPr>
        <w:t>支付</w:t>
      </w:r>
      <w:r>
        <w:rPr>
          <w:rFonts w:hint="eastAsia"/>
          <w:b w:val="0"/>
          <w:bCs/>
          <w:highlight w:val="none"/>
        </w:rPr>
        <w:t>;</w:t>
      </w:r>
      <w:r>
        <w:rPr>
          <w:rFonts w:hint="eastAsia"/>
          <w:b w:val="0"/>
          <w:bCs/>
          <w:highlight w:val="none"/>
          <w:lang w:val="en-US" w:eastAsia="zh-CN"/>
        </w:rPr>
        <w:t>饲料价格以经甲方确认的订单单品报价金额为准；乙方保证报价不高于市场价，如市场价下降则饲料价格也随之自动下降。</w:t>
      </w:r>
    </w:p>
    <w:p w14:paraId="20EA546C">
      <w:pPr>
        <w:pStyle w:val="8"/>
        <w:numPr>
          <w:ilvl w:val="-1"/>
          <w:numId w:val="0"/>
        </w:numPr>
        <w:bidi w:val="0"/>
        <w:ind w:firstLine="482" w:firstLineChars="2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四、</w:t>
      </w:r>
      <w:r>
        <w:rPr>
          <w:highlight w:val="none"/>
        </w:rPr>
        <w:t>货物交付期限、地点</w:t>
      </w:r>
    </w:p>
    <w:p w14:paraId="513BCF05">
      <w:pPr>
        <w:pStyle w:val="10"/>
        <w:numPr>
          <w:ilvl w:val="-1"/>
          <w:numId w:val="0"/>
        </w:numPr>
        <w:bidi w:val="0"/>
        <w:ind w:leftChars="200" w:firstLine="0"/>
        <w:rPr>
          <w:highlight w:val="none"/>
        </w:rPr>
      </w:pPr>
      <w:r>
        <w:rPr>
          <w:rFonts w:hint="eastAsia"/>
          <w:highlight w:val="none"/>
          <w:u w:val="none"/>
          <w:lang w:val="en-US" w:eastAsia="zh-CN"/>
        </w:rPr>
        <w:t>1.交付期限：甲方下单后</w:t>
      </w:r>
      <w:r>
        <w:rPr>
          <w:rFonts w:hint="eastAsia"/>
          <w:highlight w:val="none"/>
          <w:u w:val="single"/>
          <w:lang w:val="en-US" w:eastAsia="zh-CN"/>
        </w:rPr>
        <w:t xml:space="preserve"> 7 </w:t>
      </w:r>
      <w:r>
        <w:rPr>
          <w:rFonts w:hint="eastAsia"/>
          <w:highlight w:val="none"/>
          <w:u w:val="none"/>
          <w:lang w:val="en-US" w:eastAsia="zh-CN"/>
        </w:rPr>
        <w:t>日内；</w:t>
      </w:r>
    </w:p>
    <w:p w14:paraId="098AE4A5">
      <w:pPr>
        <w:pStyle w:val="10"/>
        <w:numPr>
          <w:ilvl w:val="-1"/>
          <w:numId w:val="0"/>
        </w:numPr>
        <w:bidi w:val="0"/>
        <w:ind w:firstLine="480" w:firstLineChars="200"/>
        <w:rPr>
          <w:highlight w:val="none"/>
        </w:rPr>
      </w:pPr>
      <w:r>
        <w:rPr>
          <w:rFonts w:hint="eastAsia"/>
          <w:highlight w:val="none"/>
          <w:u w:val="none"/>
          <w:lang w:val="en-US" w:eastAsia="zh-CN"/>
        </w:rPr>
        <w:t>2.交付地点：</w:t>
      </w:r>
      <w:r>
        <w:rPr>
          <w:rFonts w:hint="eastAsia"/>
          <w:highlight w:val="none"/>
          <w:u w:val="single"/>
          <w:lang w:val="en-US" w:eastAsia="zh-CN"/>
        </w:rPr>
        <w:t>甲方指定</w:t>
      </w:r>
      <w:bookmarkStart w:id="1" w:name="1.6_违约责任"/>
      <w:bookmarkEnd w:id="1"/>
      <w:r>
        <w:rPr>
          <w:rFonts w:hint="eastAsia"/>
          <w:highlight w:val="none"/>
          <w:u w:val="single"/>
          <w:lang w:val="en-US" w:eastAsia="zh-CN"/>
        </w:rPr>
        <w:t>位置</w:t>
      </w:r>
      <w:r>
        <w:rPr>
          <w:rFonts w:hint="eastAsia"/>
          <w:highlight w:val="none"/>
          <w:u w:val="none"/>
          <w:lang w:val="en-US" w:eastAsia="zh-CN"/>
        </w:rPr>
        <w:t>；乙方应对饲料进行合理包装，</w:t>
      </w:r>
      <w:r>
        <w:rPr>
          <w:highlight w:val="none"/>
        </w:rPr>
        <w:t>货物</w:t>
      </w:r>
      <w:r>
        <w:rPr>
          <w:rFonts w:hint="eastAsia"/>
          <w:highlight w:val="none"/>
          <w:lang w:val="en-US" w:eastAsia="zh-CN"/>
        </w:rPr>
        <w:t>交付至甲方之前的</w:t>
      </w:r>
      <w:r>
        <w:rPr>
          <w:highlight w:val="none"/>
        </w:rPr>
        <w:t>毁损、</w:t>
      </w:r>
      <w:r>
        <w:rPr>
          <w:rFonts w:hint="eastAsia"/>
          <w:highlight w:val="none"/>
          <w:lang w:val="en-US" w:eastAsia="zh-CN"/>
        </w:rPr>
        <w:t>丢失</w:t>
      </w:r>
      <w:r>
        <w:rPr>
          <w:highlight w:val="none"/>
        </w:rPr>
        <w:t>风险</w:t>
      </w:r>
      <w:r>
        <w:rPr>
          <w:rFonts w:hint="eastAsia"/>
          <w:highlight w:val="none"/>
          <w:lang w:val="en-US" w:eastAsia="zh-CN"/>
        </w:rPr>
        <w:t>由乙方承担</w:t>
      </w:r>
      <w:r>
        <w:rPr>
          <w:highlight w:val="none"/>
        </w:rPr>
        <w:t>。</w:t>
      </w:r>
    </w:p>
    <w:p w14:paraId="343BD32B">
      <w:pPr>
        <w:pStyle w:val="8"/>
        <w:numPr>
          <w:ilvl w:val="-1"/>
          <w:numId w:val="0"/>
        </w:numPr>
        <w:bidi w:val="0"/>
        <w:ind w:firstLine="482" w:firstLineChars="2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五、质量</w:t>
      </w:r>
      <w:r>
        <w:rPr>
          <w:highlight w:val="none"/>
        </w:rPr>
        <w:t>保证</w:t>
      </w:r>
    </w:p>
    <w:p w14:paraId="31BE66B5">
      <w:pPr>
        <w:pStyle w:val="10"/>
        <w:numPr>
          <w:ilvl w:val="-1"/>
          <w:numId w:val="0"/>
        </w:numPr>
        <w:bidi w:val="0"/>
        <w:ind w:firstLine="48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若甲方发现</w:t>
      </w:r>
      <w:r>
        <w:rPr>
          <w:rFonts w:hint="eastAsia"/>
          <w:highlight w:val="none"/>
          <w:lang w:val="en-US" w:eastAsia="zh-CN"/>
        </w:rPr>
        <w:t>动物饲料</w:t>
      </w:r>
      <w:r>
        <w:rPr>
          <w:rFonts w:hint="eastAsia"/>
          <w:highlight w:val="none"/>
        </w:rPr>
        <w:t>存在质量问题，乙方应在接到甲方通知后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小时内响应，</w:t>
      </w:r>
      <w:r>
        <w:rPr>
          <w:rFonts w:hint="eastAsia"/>
          <w:highlight w:val="none"/>
          <w:lang w:val="en-US" w:eastAsia="zh-CN"/>
        </w:rPr>
        <w:t>并</w:t>
      </w:r>
      <w:r>
        <w:rPr>
          <w:rFonts w:hint="eastAsia"/>
          <w:highlight w:val="none"/>
        </w:rPr>
        <w:t>提供退换货服务或相应的补救措</w:t>
      </w:r>
      <w:r>
        <w:rPr>
          <w:rFonts w:hint="default"/>
          <w:highlight w:val="none"/>
        </w:rPr>
        <w:t>施。</w:t>
      </w:r>
      <w:r>
        <w:rPr>
          <w:rFonts w:hint="default"/>
          <w:highlight w:val="none"/>
          <w:lang w:val="en-US" w:eastAsia="zh-CN"/>
        </w:rPr>
        <w:t>因乙方</w:t>
      </w:r>
      <w:r>
        <w:rPr>
          <w:rFonts w:hint="default"/>
          <w:b w:val="0"/>
          <w:bCs w:val="0"/>
          <w:i w:val="0"/>
          <w:iCs w:val="0"/>
          <w:w w:val="100"/>
          <w:highlight w:val="none"/>
        </w:rPr>
        <w:t>饲料质量问题导致动物健康损害（包括但不限于疾病、死亡等）</w:t>
      </w:r>
      <w:r>
        <w:rPr>
          <w:rFonts w:hint="default"/>
          <w:b w:val="0"/>
          <w:bCs w:val="0"/>
          <w:i w:val="0"/>
          <w:iCs w:val="0"/>
          <w:w w:val="100"/>
          <w:highlight w:val="none"/>
          <w:lang w:val="en-US" w:eastAsia="zh-CN"/>
        </w:rPr>
        <w:t>或其他损失</w:t>
      </w:r>
      <w:r>
        <w:rPr>
          <w:rFonts w:hint="default"/>
          <w:b w:val="0"/>
          <w:bCs w:val="0"/>
          <w:i w:val="0"/>
          <w:iCs w:val="0"/>
          <w:w w:val="100"/>
          <w:highlight w:val="none"/>
        </w:rPr>
        <w:t>，</w:t>
      </w:r>
      <w:r>
        <w:rPr>
          <w:rFonts w:hint="default"/>
          <w:b w:val="0"/>
          <w:bCs w:val="0"/>
          <w:i w:val="0"/>
          <w:iCs w:val="0"/>
          <w:w w:val="100"/>
          <w:highlight w:val="none"/>
          <w:lang w:val="en-US" w:eastAsia="zh-CN"/>
        </w:rPr>
        <w:t>由乙方承担责任。</w:t>
      </w:r>
    </w:p>
    <w:p w14:paraId="145F155F">
      <w:pPr>
        <w:pStyle w:val="8"/>
        <w:numPr>
          <w:ilvl w:val="-1"/>
          <w:numId w:val="0"/>
        </w:numPr>
        <w:bidi w:val="0"/>
        <w:ind w:firstLine="482" w:firstLineChars="2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六、</w:t>
      </w:r>
      <w:r>
        <w:rPr>
          <w:highlight w:val="none"/>
        </w:rPr>
        <w:t>违约责任</w:t>
      </w:r>
    </w:p>
    <w:p w14:paraId="20EA1EB3">
      <w:pPr>
        <w:pStyle w:val="10"/>
        <w:numPr>
          <w:ilvl w:val="-1"/>
          <w:numId w:val="0"/>
        </w:numPr>
        <w:bidi w:val="0"/>
        <w:ind w:firstLine="480" w:firstLineChars="2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1.</w:t>
      </w:r>
      <w:r>
        <w:rPr>
          <w:highlight w:val="none"/>
        </w:rPr>
        <w:t>如乙方</w:t>
      </w:r>
      <w:r>
        <w:rPr>
          <w:rFonts w:hint="eastAsia"/>
          <w:highlight w:val="none"/>
          <w:lang w:val="en-US" w:eastAsia="zh-CN"/>
        </w:rPr>
        <w:t>未</w:t>
      </w:r>
      <w:r>
        <w:rPr>
          <w:highlight w:val="none"/>
        </w:rPr>
        <w:t>按照本合同约定的期限、地点和方式交付货物，甲方可要求乙方支付违约金，违约金按每迟延交付货物一日的应交付而未交付货物价格的</w:t>
      </w:r>
      <w:r>
        <w:rPr>
          <w:rFonts w:hint="eastAsia"/>
          <w:highlight w:val="none"/>
          <w:u w:val="single"/>
          <w:lang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 xml:space="preserve">千分之五 </w:t>
      </w:r>
      <w:r>
        <w:rPr>
          <w:highlight w:val="none"/>
        </w:rPr>
        <w:t>计算；迟延交付货物</w:t>
      </w:r>
      <w:r>
        <w:rPr>
          <w:rFonts w:hint="eastAsia"/>
          <w:highlight w:val="none"/>
          <w:lang w:val="en-US" w:eastAsia="zh-CN"/>
        </w:rPr>
        <w:t>超过</w:t>
      </w:r>
      <w:r>
        <w:rPr>
          <w:rFonts w:hint="eastAsia"/>
          <w:highlight w:val="none"/>
          <w:u w:val="single"/>
          <w:lang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15</w:t>
      </w:r>
      <w:r>
        <w:rPr>
          <w:rFonts w:hint="eastAsia"/>
          <w:highlight w:val="none"/>
          <w:u w:val="single"/>
          <w:lang w:eastAsia="zh-CN"/>
        </w:rPr>
        <w:t xml:space="preserve"> </w:t>
      </w:r>
      <w:r>
        <w:rPr>
          <w:rFonts w:hint="eastAsia"/>
          <w:highlight w:val="none"/>
          <w:u w:val="none"/>
          <w:lang w:val="en-US" w:eastAsia="zh-CN"/>
        </w:rPr>
        <w:t>日</w:t>
      </w:r>
      <w:r>
        <w:rPr>
          <w:highlight w:val="none"/>
        </w:rPr>
        <w:t>，甲方有权在要求乙方支付违约金的同时解除本合同</w:t>
      </w:r>
      <w:r>
        <w:rPr>
          <w:rFonts w:hint="eastAsia"/>
          <w:highlight w:val="none"/>
          <w:lang w:eastAsia="zh-CN"/>
        </w:rPr>
        <w:t>。</w:t>
      </w:r>
    </w:p>
    <w:p w14:paraId="78CC2496">
      <w:pPr>
        <w:pStyle w:val="10"/>
        <w:numPr>
          <w:ilvl w:val="-1"/>
          <w:numId w:val="0"/>
        </w:numPr>
        <w:bidi w:val="0"/>
        <w:ind w:firstLine="480" w:firstLineChars="20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2.</w:t>
      </w:r>
      <w:r>
        <w:rPr>
          <w:highlight w:val="none"/>
        </w:rPr>
        <w:t>货物交付前，乙方应对货物的质量、数量等方面进行详细、全面的检验</w:t>
      </w:r>
      <w:r>
        <w:rPr>
          <w:rFonts w:hint="eastAsia"/>
          <w:highlight w:val="none"/>
        </w:rPr>
        <w:t>。甲方在收到货物后，应第一时间</w:t>
      </w:r>
      <w:r>
        <w:rPr>
          <w:rFonts w:hint="eastAsia"/>
          <w:highlight w:val="none"/>
          <w:lang w:val="en-US" w:eastAsia="zh-CN"/>
        </w:rPr>
        <w:t>组织</w:t>
      </w:r>
      <w:r>
        <w:rPr>
          <w:rFonts w:hint="eastAsia"/>
          <w:highlight w:val="none"/>
        </w:rPr>
        <w:t>清点验收，如</w:t>
      </w:r>
      <w:r>
        <w:rPr>
          <w:rFonts w:hint="eastAsia"/>
          <w:highlight w:val="none"/>
          <w:lang w:val="en-US" w:eastAsia="zh-CN"/>
        </w:rPr>
        <w:t>动物饲料</w:t>
      </w:r>
      <w:r>
        <w:rPr>
          <w:rFonts w:hint="eastAsia"/>
          <w:highlight w:val="none"/>
        </w:rPr>
        <w:t>的数量、</w:t>
      </w:r>
      <w:r>
        <w:rPr>
          <w:rFonts w:hint="eastAsia"/>
          <w:highlight w:val="none"/>
          <w:lang w:val="en-US" w:eastAsia="zh-CN"/>
        </w:rPr>
        <w:t>类别</w:t>
      </w:r>
      <w:r>
        <w:rPr>
          <w:rFonts w:hint="eastAsia"/>
          <w:highlight w:val="none"/>
        </w:rPr>
        <w:t>等与甲方所提供的订货信息不符，</w:t>
      </w:r>
      <w:r>
        <w:rPr>
          <w:rFonts w:hint="eastAsia"/>
          <w:highlight w:val="none"/>
          <w:lang w:val="en-US" w:eastAsia="zh-CN"/>
        </w:rPr>
        <w:t>甲方将</w:t>
      </w:r>
      <w:r>
        <w:rPr>
          <w:rFonts w:hint="eastAsia"/>
          <w:highlight w:val="none"/>
        </w:rPr>
        <w:t>在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个工作日内与乙方联系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</w:rPr>
        <w:t>乙方确认后，应在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天内为甲方补发，补发产生的各类费用由乙方承担。</w:t>
      </w:r>
    </w:p>
    <w:p w14:paraId="07271C36">
      <w:pPr>
        <w:pStyle w:val="8"/>
        <w:numPr>
          <w:ilvl w:val="-1"/>
          <w:numId w:val="0"/>
        </w:numPr>
        <w:bidi w:val="0"/>
        <w:ind w:firstLine="0"/>
        <w:rPr>
          <w:highlight w:val="none"/>
        </w:rPr>
      </w:pPr>
      <w:r>
        <w:rPr>
          <w:rFonts w:hint="eastAsia"/>
          <w:highlight w:val="none"/>
          <w:lang w:val="en-US" w:eastAsia="zh-CN"/>
        </w:rPr>
        <w:t xml:space="preserve">    七、</w:t>
      </w:r>
      <w:r>
        <w:rPr>
          <w:highlight w:val="none"/>
        </w:rPr>
        <w:t>争议解决</w:t>
      </w:r>
    </w:p>
    <w:p w14:paraId="11C84A83">
      <w:pPr>
        <w:pStyle w:val="7"/>
        <w:bidi w:val="0"/>
        <w:rPr>
          <w:highlight w:val="none"/>
        </w:rPr>
      </w:pPr>
      <w:r>
        <w:rPr>
          <w:highlight w:val="none"/>
        </w:rPr>
        <w:t>本合同履行过程中发生的任何争议，</w:t>
      </w:r>
      <w:r>
        <w:rPr>
          <w:rFonts w:hint="eastAsia"/>
          <w:highlight w:val="none"/>
          <w:lang w:val="zh-CN" w:bidi="zh-CN"/>
        </w:rPr>
        <w:t>双方</w:t>
      </w:r>
      <w:r>
        <w:rPr>
          <w:highlight w:val="none"/>
        </w:rPr>
        <w:t>当事人均可通过和解或者调解解决；不愿和解、调解或者和解、调解不成的，可以向</w:t>
      </w:r>
      <w:r>
        <w:rPr>
          <w:rFonts w:hint="eastAsia"/>
          <w:highlight w:val="none"/>
          <w:u w:val="single"/>
          <w:lang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 xml:space="preserve">甲方所在地 </w:t>
      </w:r>
      <w:r>
        <w:rPr>
          <w:highlight w:val="none"/>
        </w:rPr>
        <w:t>人民法院起诉。</w:t>
      </w:r>
    </w:p>
    <w:p w14:paraId="0E691354">
      <w:pPr>
        <w:pStyle w:val="7"/>
        <w:bidi w:val="0"/>
        <w:rPr>
          <w:highlight w:val="none"/>
        </w:rPr>
      </w:pPr>
      <w:r>
        <w:rPr>
          <w:rFonts w:hint="eastAsia"/>
          <w:highlight w:val="none"/>
        </w:rPr>
        <w:t>在争议处理期间，除涉及争议的部分外，双方仍应继续执行本合同的其他条款。</w:t>
      </w:r>
    </w:p>
    <w:p w14:paraId="44C5781C">
      <w:pPr>
        <w:pStyle w:val="8"/>
        <w:numPr>
          <w:ilvl w:val="0"/>
          <w:numId w:val="3"/>
        </w:numPr>
        <w:bidi w:val="0"/>
        <w:ind w:firstLine="482" w:firstLineChars="200"/>
        <w:rPr>
          <w:rFonts w:hint="eastAsia"/>
          <w:highlight w:val="none"/>
          <w:lang w:val="en-US" w:eastAsia="zh-CN"/>
        </w:rPr>
      </w:pPr>
      <w:bookmarkStart w:id="2" w:name="1.8_合同生效"/>
      <w:bookmarkEnd w:id="2"/>
      <w:r>
        <w:rPr>
          <w:rFonts w:hint="eastAsia"/>
          <w:highlight w:val="none"/>
          <w:lang w:val="en-US" w:eastAsia="zh-CN"/>
        </w:rPr>
        <w:t>其他</w:t>
      </w:r>
    </w:p>
    <w:p w14:paraId="4F986918">
      <w:pPr>
        <w:pStyle w:val="8"/>
        <w:numPr>
          <w:ilvl w:val="1"/>
          <w:numId w:val="0"/>
        </w:numPr>
        <w:bidi w:val="0"/>
        <w:spacing w:before="0" w:after="0"/>
        <w:ind w:left="480" w:leftChars="200" w:right="0" w:firstLine="0" w:firstLineChars="0"/>
        <w:jc w:val="left"/>
        <w:rPr>
          <w:rFonts w:hint="eastAsia"/>
          <w:b w:val="0"/>
          <w:bCs/>
          <w:highlight w:val="none"/>
          <w:lang w:val="en-US" w:eastAsia="zh-CN"/>
        </w:rPr>
      </w:pPr>
      <w:r>
        <w:rPr>
          <w:rFonts w:hint="eastAsia"/>
          <w:b w:val="0"/>
          <w:bCs/>
          <w:highlight w:val="none"/>
          <w:lang w:val="en-US" w:eastAsia="zh-CN"/>
        </w:rPr>
        <w:t>本</w:t>
      </w:r>
      <w:r>
        <w:rPr>
          <w:b w:val="0"/>
          <w:bCs/>
          <w:highlight w:val="none"/>
        </w:rPr>
        <w:t>合同</w:t>
      </w:r>
      <w:r>
        <w:rPr>
          <w:rFonts w:hint="eastAsia"/>
          <w:b w:val="0"/>
          <w:bCs/>
          <w:highlight w:val="none"/>
          <w:lang w:val="en-US" w:eastAsia="zh-CN"/>
        </w:rPr>
        <w:t>壹式</w:t>
      </w:r>
      <w:r>
        <w:rPr>
          <w:rFonts w:hint="eastAsia"/>
          <w:b w:val="0"/>
          <w:bCs/>
          <w:highlight w:val="none"/>
          <w:u w:val="single"/>
          <w:lang w:eastAsia="zh-CN"/>
        </w:rPr>
        <w:t xml:space="preserve"> 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 w:val="0"/>
          <w:bCs/>
          <w:highlight w:val="none"/>
          <w:u w:val="single"/>
          <w:lang w:eastAsia="zh-CN"/>
        </w:rPr>
        <w:t xml:space="preserve"> </w:t>
      </w:r>
      <w:r>
        <w:rPr>
          <w:rFonts w:hint="eastAsia"/>
          <w:b w:val="0"/>
          <w:bCs/>
          <w:highlight w:val="none"/>
          <w:lang w:val="en-US" w:eastAsia="zh-CN"/>
        </w:rPr>
        <w:t>份，甲方持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 w:val="0"/>
          <w:bCs/>
          <w:highlight w:val="none"/>
          <w:lang w:val="en-US" w:eastAsia="zh-CN"/>
        </w:rPr>
        <w:t>份，乙方持</w:t>
      </w:r>
      <w:r>
        <w:rPr>
          <w:rFonts w:hint="eastAsia"/>
          <w:b w:val="0"/>
          <w:bCs/>
          <w:highlight w:val="none"/>
          <w:u w:val="single"/>
          <w:lang w:eastAsia="zh-CN"/>
        </w:rPr>
        <w:t xml:space="preserve"> </w:t>
      </w:r>
      <w:r>
        <w:rPr>
          <w:rFonts w:hint="eastAsia"/>
          <w:b w:val="0"/>
          <w:bCs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 w:val="0"/>
          <w:bCs/>
          <w:highlight w:val="none"/>
          <w:u w:val="single"/>
          <w:lang w:eastAsia="zh-CN"/>
        </w:rPr>
        <w:t xml:space="preserve"> </w:t>
      </w:r>
      <w:r>
        <w:rPr>
          <w:rFonts w:hint="eastAsia"/>
          <w:b w:val="0"/>
          <w:bCs/>
          <w:highlight w:val="none"/>
          <w:lang w:val="en-US" w:eastAsia="zh-CN"/>
        </w:rPr>
        <w:t>份。</w:t>
      </w:r>
    </w:p>
    <w:p w14:paraId="0B023122">
      <w:pPr>
        <w:pStyle w:val="7"/>
        <w:bidi w:val="0"/>
        <w:spacing w:before="0" w:after="0"/>
        <w:ind w:left="0" w:right="0"/>
        <w:jc w:val="left"/>
        <w:rPr>
          <w:highlight w:val="none"/>
        </w:rPr>
      </w:pPr>
      <w:r>
        <w:rPr>
          <w:highlight w:val="none"/>
        </w:rPr>
        <w:t>本合同自</w:t>
      </w:r>
      <w:r>
        <w:rPr>
          <w:rFonts w:hint="eastAsia"/>
          <w:highlight w:val="none"/>
          <w:lang w:val="en-US" w:eastAsia="zh-CN"/>
        </w:rPr>
        <w:t>甲乙</w:t>
      </w:r>
      <w:r>
        <w:rPr>
          <w:highlight w:val="none"/>
        </w:rPr>
        <w:t>双方盖章</w:t>
      </w:r>
      <w:r>
        <w:rPr>
          <w:rFonts w:hint="eastAsia"/>
          <w:highlight w:val="none"/>
          <w:lang w:val="en-US" w:eastAsia="zh-CN"/>
        </w:rPr>
        <w:t>后</w:t>
      </w:r>
      <w:r>
        <w:rPr>
          <w:highlight w:val="none"/>
        </w:rPr>
        <w:t>生效。</w:t>
      </w:r>
    </w:p>
    <w:p w14:paraId="50ABA501">
      <w:pPr>
        <w:pStyle w:val="7"/>
        <w:bidi w:val="0"/>
        <w:spacing w:before="0" w:after="0"/>
        <w:ind w:left="0" w:right="0"/>
        <w:jc w:val="left"/>
        <w:rPr>
          <w:highlight w:val="none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636B3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  <w:jc w:val="center"/>
        </w:trPr>
        <w:tc>
          <w:tcPr>
            <w:tcW w:w="4428" w:type="dxa"/>
            <w:tcBorders>
              <w:tl2br w:val="nil"/>
              <w:tr2bl w:val="nil"/>
            </w:tcBorders>
            <w:vAlign w:val="bottom"/>
          </w:tcPr>
          <w:p w14:paraId="20232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甲方：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bidi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zh-CN" w:bidi="zh-CN"/>
              </w:rPr>
              <w:t>（单位盖章）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bidi="zh-CN"/>
              </w:rPr>
              <w:t xml:space="preserve">     </w:t>
            </w:r>
          </w:p>
          <w:p w14:paraId="6F083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法定代表人</w:t>
            </w:r>
          </w:p>
          <w:p w14:paraId="59D7D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或授权代表（签字）：</w:t>
            </w:r>
          </w:p>
          <w:p w14:paraId="0F58F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时间：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eastAsia="zh-CN" w:bidi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eastAsia="zh-CN" w:bidi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eastAsia="zh-CN" w:bidi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日</w:t>
            </w:r>
          </w:p>
        </w:tc>
        <w:tc>
          <w:tcPr>
            <w:tcW w:w="4428" w:type="dxa"/>
            <w:tcBorders>
              <w:tl2br w:val="nil"/>
              <w:tr2bl w:val="nil"/>
            </w:tcBorders>
            <w:vAlign w:val="bottom"/>
          </w:tcPr>
          <w:p w14:paraId="0800E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eastAsia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 w:bidi="zh-CN"/>
              </w:rPr>
              <w:t>乙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方：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bidi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zh-CN" w:bidi="zh-CN"/>
              </w:rPr>
              <w:t>（单位盖章）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bidi="zh-CN"/>
              </w:rPr>
              <w:t xml:space="preserve">     </w:t>
            </w:r>
          </w:p>
          <w:p w14:paraId="38DE7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法定代表人</w:t>
            </w:r>
          </w:p>
          <w:p w14:paraId="1F267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或授权代表（签字）：</w:t>
            </w:r>
          </w:p>
          <w:p w14:paraId="7143E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时间：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eastAsia="zh-CN" w:bidi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eastAsia="zh-CN" w:bidi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u w:val="single"/>
                <w:lang w:val="en-US" w:eastAsia="zh-CN" w:bidi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zh-CN" w:bidi="zh-CN"/>
              </w:rPr>
              <w:t>日</w:t>
            </w:r>
          </w:p>
        </w:tc>
      </w:tr>
    </w:tbl>
    <w:p w14:paraId="6182613B">
      <w:pPr>
        <w:rPr>
          <w:rFonts w:hint="eastAsia"/>
          <w:lang w:val="en-US" w:eastAsia="zh-CN"/>
        </w:rPr>
      </w:pPr>
      <w:bookmarkStart w:id="3" w:name="2.1_定义"/>
      <w:bookmarkEnd w:id="3"/>
      <w:bookmarkStart w:id="4" w:name="第二部分_合同一般条款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AB9716"/>
    <w:multiLevelType w:val="singleLevel"/>
    <w:tmpl w:val="F4AB9716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A4A3690"/>
    <w:multiLevelType w:val="multilevel"/>
    <w:tmpl w:val="1A4A3690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pStyle w:val="9"/>
      <w:lvlText w:val="%1.%2"/>
      <w:lvlJc w:val="left"/>
      <w:pPr>
        <w:ind w:left="96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abstractNum w:abstractNumId="2">
    <w:nsid w:val="5EA5F1F5"/>
    <w:multiLevelType w:val="multilevel"/>
    <w:tmpl w:val="5EA5F1F5"/>
    <w:lvl w:ilvl="0" w:tentative="0">
      <w:start w:val="1"/>
      <w:numFmt w:val="chineseCounting"/>
      <w:suff w:val="space"/>
      <w:lvlText w:val="第%1部分"/>
      <w:lvlJc w:val="left"/>
      <w:pPr>
        <w:tabs>
          <w:tab w:val="left" w:pos="0"/>
        </w:tabs>
        <w:ind w:left="0" w:leftChars="0" w:firstLine="0" w:firstLineChars="0"/>
        <w:jc w:val="left"/>
      </w:pPr>
      <w:rPr>
        <w:rFonts w:hint="eastAsia" w:ascii="宋体" w:hAnsi="宋体" w:eastAsia="宋体" w:cs="宋体"/>
      </w:rPr>
    </w:lvl>
    <w:lvl w:ilvl="1" w:tentative="0">
      <w:start w:val="1"/>
      <w:numFmt w:val="decimal"/>
      <w:pStyle w:val="8"/>
      <w:isLgl/>
      <w:suff w:val="space"/>
      <w:lvlText w:val="%1.%2"/>
      <w:lvlJc w:val="left"/>
      <w:pPr>
        <w:tabs>
          <w:tab w:val="left" w:pos="0"/>
        </w:tabs>
        <w:ind w:left="0" w:leftChars="0" w:firstLine="816" w:firstLineChars="0"/>
        <w:jc w:val="left"/>
      </w:pPr>
      <w:rPr>
        <w:rFonts w:hint="eastAsia" w:ascii="宋体" w:hAnsi="宋体" w:eastAsia="宋体" w:cs="宋体"/>
        <w:b/>
        <w:bCs/>
        <w:spacing w:val="0"/>
        <w:w w:val="99"/>
        <w:sz w:val="24"/>
        <w:szCs w:val="24"/>
      </w:rPr>
    </w:lvl>
    <w:lvl w:ilvl="2" w:tentative="0">
      <w:start w:val="1"/>
      <w:numFmt w:val="decimal"/>
      <w:pStyle w:val="10"/>
      <w:isLgl/>
      <w:suff w:val="space"/>
      <w:lvlText w:val="%1.%2.%3"/>
      <w:lvlJc w:val="left"/>
      <w:pPr>
        <w:tabs>
          <w:tab w:val="left" w:pos="420"/>
        </w:tabs>
        <w:ind w:left="0" w:leftChars="0" w:firstLine="814" w:firstLineChars="0"/>
        <w:jc w:val="left"/>
      </w:pPr>
      <w:rPr>
        <w:rFonts w:hint="eastAsia" w:ascii="宋体" w:hAnsi="宋体" w:eastAsia="宋体" w:cs="宋体"/>
        <w:w w:val="100"/>
        <w:sz w:val="24"/>
        <w:szCs w:val="24"/>
      </w:rPr>
    </w:lvl>
    <w:lvl w:ilvl="3" w:tentative="0">
      <w:start w:val="0"/>
      <w:numFmt w:val="bullet"/>
      <w:lvlText w:val="•"/>
      <w:lvlJc w:val="left"/>
      <w:pPr>
        <w:tabs>
          <w:tab w:val="left" w:pos="420"/>
        </w:tabs>
        <w:ind w:left="2428" w:hanging="660"/>
      </w:pPr>
      <w:rPr>
        <w:rFonts w:hint="eastAsia" w:ascii="宋体" w:hAnsi="宋体" w:eastAsia="宋体" w:cs="宋体"/>
      </w:rPr>
    </w:lvl>
    <w:lvl w:ilvl="4" w:tentative="0">
      <w:start w:val="0"/>
      <w:numFmt w:val="bullet"/>
      <w:lvlText w:val="•"/>
      <w:lvlJc w:val="left"/>
      <w:pPr>
        <w:ind w:left="3376" w:hanging="660"/>
      </w:pPr>
      <w:rPr>
        <w:rFonts w:hint="eastAsia"/>
      </w:rPr>
    </w:lvl>
    <w:lvl w:ilvl="5" w:tentative="0">
      <w:start w:val="0"/>
      <w:numFmt w:val="bullet"/>
      <w:lvlText w:val="•"/>
      <w:lvlJc w:val="left"/>
      <w:pPr>
        <w:ind w:left="4324" w:hanging="660"/>
      </w:pPr>
      <w:rPr>
        <w:rFonts w:hint="eastAsia"/>
      </w:rPr>
    </w:lvl>
    <w:lvl w:ilvl="6" w:tentative="0">
      <w:start w:val="0"/>
      <w:numFmt w:val="bullet"/>
      <w:lvlText w:val="•"/>
      <w:lvlJc w:val="left"/>
      <w:pPr>
        <w:ind w:left="5273" w:hanging="660"/>
      </w:pPr>
      <w:rPr>
        <w:rFonts w:hint="eastAsia"/>
      </w:rPr>
    </w:lvl>
    <w:lvl w:ilvl="7" w:tentative="0">
      <w:start w:val="0"/>
      <w:numFmt w:val="bullet"/>
      <w:lvlText w:val="•"/>
      <w:lvlJc w:val="left"/>
      <w:pPr>
        <w:ind w:left="6221" w:hanging="660"/>
      </w:pPr>
      <w:rPr>
        <w:rFonts w:hint="eastAsia"/>
      </w:rPr>
    </w:lvl>
    <w:lvl w:ilvl="8" w:tentative="0">
      <w:start w:val="0"/>
      <w:numFmt w:val="bullet"/>
      <w:lvlText w:val="•"/>
      <w:lvlJc w:val="left"/>
      <w:pPr>
        <w:ind w:left="7169" w:hanging="66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MzdiNDBiYjlhOTU1OTE0NmMxYjlkMWE2Y2ViYWQifQ=="/>
  </w:docVars>
  <w:rsids>
    <w:rsidRoot w:val="00172A27"/>
    <w:rsid w:val="02523951"/>
    <w:rsid w:val="03914CEF"/>
    <w:rsid w:val="059B00A7"/>
    <w:rsid w:val="06622FC8"/>
    <w:rsid w:val="066C559F"/>
    <w:rsid w:val="09187DA0"/>
    <w:rsid w:val="09D43141"/>
    <w:rsid w:val="0B63015F"/>
    <w:rsid w:val="0B9D07A6"/>
    <w:rsid w:val="0D690A8B"/>
    <w:rsid w:val="0E2C18AC"/>
    <w:rsid w:val="0E3015A8"/>
    <w:rsid w:val="0E552DBD"/>
    <w:rsid w:val="120774CE"/>
    <w:rsid w:val="13B328B6"/>
    <w:rsid w:val="151F1837"/>
    <w:rsid w:val="16377F49"/>
    <w:rsid w:val="16BE50DE"/>
    <w:rsid w:val="17147CB9"/>
    <w:rsid w:val="186D405B"/>
    <w:rsid w:val="1A594936"/>
    <w:rsid w:val="1A6E7C36"/>
    <w:rsid w:val="1C9C6E83"/>
    <w:rsid w:val="1DA170C5"/>
    <w:rsid w:val="1DA8115B"/>
    <w:rsid w:val="21777645"/>
    <w:rsid w:val="229009C2"/>
    <w:rsid w:val="23711FEF"/>
    <w:rsid w:val="25E77A72"/>
    <w:rsid w:val="285B12F3"/>
    <w:rsid w:val="28B03E01"/>
    <w:rsid w:val="29037B8D"/>
    <w:rsid w:val="29862178"/>
    <w:rsid w:val="2C2B6348"/>
    <w:rsid w:val="331945AE"/>
    <w:rsid w:val="34362191"/>
    <w:rsid w:val="36624975"/>
    <w:rsid w:val="38C44D4F"/>
    <w:rsid w:val="3F3905E5"/>
    <w:rsid w:val="430D71E7"/>
    <w:rsid w:val="45D1045A"/>
    <w:rsid w:val="473F7B8B"/>
    <w:rsid w:val="4B0B7E2E"/>
    <w:rsid w:val="4FFD05E3"/>
    <w:rsid w:val="50A13664"/>
    <w:rsid w:val="61695AD8"/>
    <w:rsid w:val="63F71DD1"/>
    <w:rsid w:val="670C0772"/>
    <w:rsid w:val="68103152"/>
    <w:rsid w:val="69AE49D0"/>
    <w:rsid w:val="6DA32372"/>
    <w:rsid w:val="6DAD4F9F"/>
    <w:rsid w:val="71DA377E"/>
    <w:rsid w:val="736A003E"/>
    <w:rsid w:val="780659D7"/>
    <w:rsid w:val="78DA16C8"/>
    <w:rsid w:val="7926054A"/>
    <w:rsid w:val="7D9D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line="440" w:lineRule="exact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qFormat/>
    <w:uiPriority w:val="1"/>
    <w:pPr>
      <w:spacing w:before="167"/>
      <w:ind w:left="117"/>
      <w:outlineLvl w:val="1"/>
    </w:pPr>
    <w:rPr>
      <w:rFonts w:ascii="微软雅黑" w:hAnsi="微软雅黑" w:eastAsia="微软雅黑" w:cs="微软雅黑"/>
      <w:b/>
      <w:bCs/>
      <w:i/>
      <w:sz w:val="25"/>
      <w:szCs w:val="25"/>
      <w:lang w:val="zh-CN" w:eastAsia="zh-CN" w:bidi="zh-CN"/>
    </w:rPr>
  </w:style>
  <w:style w:type="paragraph" w:styleId="3">
    <w:name w:val="heading 2"/>
    <w:basedOn w:val="1"/>
    <w:qFormat/>
    <w:uiPriority w:val="1"/>
    <w:pPr>
      <w:spacing w:before="206"/>
      <w:ind w:left="117"/>
      <w:outlineLvl w:val="2"/>
    </w:pPr>
    <w:rPr>
      <w:rFonts w:ascii="微软雅黑" w:hAnsi="微软雅黑" w:eastAsia="微软雅黑" w:cs="微软雅黑"/>
      <w:b/>
      <w:bCs/>
      <w:i/>
      <w:sz w:val="21"/>
      <w:szCs w:val="21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无编号段落"/>
    <w:basedOn w:val="1"/>
    <w:autoRedefine/>
    <w:qFormat/>
    <w:uiPriority w:val="0"/>
    <w:pPr>
      <w:ind w:firstLine="480" w:firstLineChars="200"/>
    </w:pPr>
    <w:rPr>
      <w:rFonts w:cstheme="minorEastAsia"/>
      <w:lang w:val="zh-CN" w:bidi="zh-CN"/>
    </w:rPr>
  </w:style>
  <w:style w:type="paragraph" w:customStyle="1" w:styleId="8">
    <w:name w:val="1.1"/>
    <w:basedOn w:val="9"/>
    <w:autoRedefine/>
    <w:qFormat/>
    <w:uiPriority w:val="1"/>
    <w:pPr>
      <w:numPr>
        <w:numId w:val="1"/>
      </w:numPr>
      <w:tabs>
        <w:tab w:val="left" w:pos="0"/>
        <w:tab w:val="left" w:pos="1475"/>
      </w:tabs>
      <w:ind w:left="0" w:firstLine="482" w:firstLineChars="200"/>
      <w:outlineLvl w:val="2"/>
    </w:pPr>
    <w:rPr>
      <w:bCs w:val="0"/>
    </w:rPr>
  </w:style>
  <w:style w:type="paragraph" w:styleId="9">
    <w:name w:val="List Paragraph"/>
    <w:basedOn w:val="1"/>
    <w:autoRedefine/>
    <w:qFormat/>
    <w:uiPriority w:val="1"/>
    <w:pPr>
      <w:numPr>
        <w:ilvl w:val="1"/>
        <w:numId w:val="2"/>
      </w:numPr>
      <w:tabs>
        <w:tab w:val="left" w:pos="1475"/>
      </w:tabs>
      <w:spacing w:line="560" w:lineRule="exact"/>
      <w:ind w:left="962"/>
      <w:jc w:val="both"/>
    </w:pPr>
    <w:rPr>
      <w:b/>
      <w:bCs/>
    </w:rPr>
  </w:style>
  <w:style w:type="paragraph" w:customStyle="1" w:styleId="10">
    <w:name w:val="1.1.1"/>
    <w:basedOn w:val="9"/>
    <w:autoRedefine/>
    <w:qFormat/>
    <w:uiPriority w:val="1"/>
    <w:pPr>
      <w:numPr>
        <w:ilvl w:val="2"/>
        <w:numId w:val="1"/>
      </w:numPr>
      <w:spacing w:line="440" w:lineRule="exact"/>
      <w:ind w:left="0" w:firstLine="480" w:firstLineChars="200"/>
    </w:pPr>
    <w:rPr>
      <w:b w:val="0"/>
      <w:bCs w:val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3254</Words>
  <Characters>3300</Characters>
  <Lines>0</Lines>
  <Paragraphs>0</Paragraphs>
  <TotalTime>20</TotalTime>
  <ScaleCrop>false</ScaleCrop>
  <LinksUpToDate>false</LinksUpToDate>
  <CharactersWithSpaces>3625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2024-09-03T01:33:00Z</dcterms:created>
  <dc:creator>ZYLLRN</dc:creator>
  <cp:lastModifiedBy>沈超</cp:lastModifiedBy>
  <cp:lastPrinted>2024-10-10T00:53:00Z</cp:lastPrinted>
  <dcterms:modified xsi:type="dcterms:W3CDTF">2025-03-10T01:47:04Z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ED71C4F199204F3B89E1AA96F4070A70_13</vt:lpwstr>
  </property>
  <property fmtid="{D5CDD505-2E9C-101B-9397-08002B2CF9AE}" pid="4" name="KSOTemplateDocerSaveRecord">
    <vt:lpwstr>eyJoZGlkIjoiMzEwNTM5NzYwMDRjMzkwZTVkZjY2ODkwMGIxNGU0OTUiLCJ1c2VySWQiOiI0NzExOTUxNTkifQ==</vt:lpwstr>
  </property>
</Properties>
</file>