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6024BB">
      <w:pPr>
        <w:keepNext w:val="0"/>
        <w:keepLines w:val="0"/>
        <w:pageBreakBefore w:val="0"/>
        <w:widowControl/>
        <w:kinsoku/>
        <w:wordWrap/>
        <w:overflowPunct/>
        <w:topLinePunct w:val="0"/>
        <w:autoSpaceDE/>
        <w:autoSpaceDN/>
        <w:bidi w:val="0"/>
        <w:adjustRightInd/>
        <w:snapToGrid/>
        <w:spacing w:before="100" w:beforeAutospacing="1" w:after="100" w:afterAutospacing="1" w:line="440" w:lineRule="exact"/>
        <w:jc w:val="center"/>
        <w:textAlignment w:val="auto"/>
        <w:rPr>
          <w:rFonts w:hint="eastAsia" w:ascii="方正小标宋简体" w:hAnsi="方正小标宋简体" w:eastAsia="方正小标宋简体" w:cs="方正小标宋简体"/>
          <w:color w:val="0D0D0D" w:themeColor="text1" w:themeTint="F2"/>
          <w:highlight w:val="none"/>
          <w14:textFill>
            <w14:solidFill>
              <w14:schemeClr w14:val="tx1">
                <w14:lumMod w14:val="95000"/>
                <w14:lumOff w14:val="5000"/>
              </w14:schemeClr>
            </w14:solidFill>
          </w14:textFill>
        </w:rPr>
      </w:pPr>
      <w:r>
        <w:rPr>
          <w:rFonts w:hint="eastAsia" w:ascii="方正小标宋简体" w:hAnsi="方正小标宋简体" w:eastAsia="方正小标宋简体" w:cs="方正小标宋简体"/>
          <w:b/>
          <w:color w:val="0D0D0D" w:themeColor="text1" w:themeTint="F2"/>
          <w:sz w:val="36"/>
          <w:szCs w:val="36"/>
          <w:highlight w:val="none"/>
          <w:lang w:bidi="ar"/>
          <w14:textFill>
            <w14:solidFill>
              <w14:schemeClr w14:val="tx1">
                <w14:lumMod w14:val="95000"/>
                <w14:lumOff w14:val="5000"/>
              </w14:schemeClr>
            </w14:solidFill>
          </w14:textFill>
        </w:rPr>
        <w:t>2025紫蓬山民俗文化周活动市集经营合同</w:t>
      </w:r>
    </w:p>
    <w:p w14:paraId="3BF52873">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color w:val="0D0D0D" w:themeColor="text1" w:themeTint="F2"/>
          <w:highlight w:val="none"/>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4"/>
          <w:szCs w:val="32"/>
          <w:highlight w:val="none"/>
          <w:lang w:val="en-US" w:eastAsia="zh-CN"/>
          <w14:textFill>
            <w14:solidFill>
              <w14:schemeClr w14:val="tx1">
                <w14:lumMod w14:val="95000"/>
                <w14:lumOff w14:val="5000"/>
              </w14:schemeClr>
            </w14:solidFill>
          </w14:textFill>
        </w:rPr>
        <w:t xml:space="preserve">                                      </w:t>
      </w:r>
      <w:r>
        <w:rPr>
          <w:rFonts w:hint="eastAsia" w:ascii="仿宋_GB2312" w:hAnsi="仿宋_GB2312" w:eastAsia="仿宋_GB2312" w:cs="仿宋_GB2312"/>
          <w:color w:val="0D0D0D" w:themeColor="text1" w:themeTint="F2"/>
          <w:sz w:val="24"/>
          <w:szCs w:val="32"/>
          <w:highlight w:val="none"/>
          <w14:textFill>
            <w14:solidFill>
              <w14:schemeClr w14:val="tx1">
                <w14:lumMod w14:val="95000"/>
                <w14:lumOff w14:val="5000"/>
              </w14:schemeClr>
            </w14:solidFill>
          </w14:textFill>
        </w:rPr>
        <w:t>合同编号：</w:t>
      </w:r>
    </w:p>
    <w:p w14:paraId="1EFCD166">
      <w:pPr>
        <w:keepNext w:val="0"/>
        <w:keepLines w:val="0"/>
        <w:pageBreakBefore w:val="0"/>
        <w:kinsoku/>
        <w:wordWrap/>
        <w:overflowPunct/>
        <w:topLinePunct w:val="0"/>
        <w:autoSpaceDE/>
        <w:autoSpaceDN/>
        <w:bidi w:val="0"/>
        <w:adjustRightInd/>
        <w:snapToGrid/>
        <w:spacing w:line="440" w:lineRule="exact"/>
        <w:textAlignment w:val="auto"/>
        <w:rPr>
          <w:rFonts w:hint="eastAsia"/>
          <w:color w:val="0D0D0D" w:themeColor="text1" w:themeTint="F2"/>
          <w:highlight w:val="none"/>
          <w14:textFill>
            <w14:solidFill>
              <w14:schemeClr w14:val="tx1">
                <w14:lumMod w14:val="95000"/>
                <w14:lumOff w14:val="5000"/>
              </w14:schemeClr>
            </w14:solidFill>
          </w14:textFill>
        </w:rPr>
      </w:pPr>
    </w:p>
    <w:p w14:paraId="7156ACAE">
      <w:pPr>
        <w:keepNext w:val="0"/>
        <w:keepLines w:val="0"/>
        <w:pageBreakBefore w:val="0"/>
        <w:widowControl/>
        <w:kinsoku/>
        <w:wordWrap/>
        <w:overflowPunct/>
        <w:topLinePunct w:val="0"/>
        <w:autoSpaceDE/>
        <w:autoSpaceDN/>
        <w:bidi w:val="0"/>
        <w:adjustRightInd/>
        <w:snapToGrid/>
        <w:spacing w:before="100" w:beforeAutospacing="1" w:after="100" w:afterAutospacing="1" w:line="440" w:lineRule="exact"/>
        <w:jc w:val="left"/>
        <w:textAlignment w:val="auto"/>
        <w:rPr>
          <w:rFonts w:hint="eastAsia" w:ascii="黑体" w:hAnsi="黑体" w:eastAsia="黑体" w:cs="黑体"/>
          <w:color w:val="0D0D0D" w:themeColor="text1" w:themeTint="F2"/>
          <w:kern w:val="0"/>
          <w:sz w:val="28"/>
          <w:szCs w:val="28"/>
          <w:highlight w:val="none"/>
          <w14:textFill>
            <w14:solidFill>
              <w14:schemeClr w14:val="tx1">
                <w14:lumMod w14:val="95000"/>
                <w14:lumOff w14:val="5000"/>
              </w14:schemeClr>
            </w14:solidFill>
          </w14:textFill>
        </w:rPr>
      </w:pPr>
      <w:r>
        <w:rPr>
          <w:rFonts w:hint="eastAsia" w:ascii="黑体" w:hAnsi="黑体" w:eastAsia="黑体" w:cs="黑体"/>
          <w:color w:val="0D0D0D" w:themeColor="text1" w:themeTint="F2"/>
          <w:kern w:val="0"/>
          <w:sz w:val="28"/>
          <w:szCs w:val="28"/>
          <w:highlight w:val="none"/>
          <w14:textFill>
            <w14:solidFill>
              <w14:schemeClr w14:val="tx1">
                <w14:lumMod w14:val="95000"/>
                <w14:lumOff w14:val="5000"/>
              </w14:schemeClr>
            </w14:solidFill>
          </w14:textFill>
        </w:rPr>
        <w:t xml:space="preserve">甲方（主办方）：肥西县紫蓬山文化旅游开发有限公司   </w:t>
      </w:r>
    </w:p>
    <w:p w14:paraId="570A4C64">
      <w:pPr>
        <w:keepNext w:val="0"/>
        <w:keepLines w:val="0"/>
        <w:pageBreakBefore w:val="0"/>
        <w:widowControl/>
        <w:kinsoku/>
        <w:wordWrap/>
        <w:overflowPunct/>
        <w:topLinePunct w:val="0"/>
        <w:autoSpaceDE/>
        <w:autoSpaceDN/>
        <w:bidi w:val="0"/>
        <w:adjustRightInd/>
        <w:snapToGrid/>
        <w:spacing w:before="100" w:beforeAutospacing="1" w:after="100" w:afterAutospacing="1" w:line="440" w:lineRule="exact"/>
        <w:jc w:val="left"/>
        <w:textAlignment w:val="auto"/>
        <w:rPr>
          <w:rFonts w:hint="eastAsia" w:ascii="黑体" w:hAnsi="黑体" w:eastAsia="黑体" w:cs="黑体"/>
          <w:color w:val="0D0D0D" w:themeColor="text1" w:themeTint="F2"/>
          <w:kern w:val="0"/>
          <w:sz w:val="28"/>
          <w:szCs w:val="28"/>
          <w:highlight w:val="none"/>
          <w14:textFill>
            <w14:solidFill>
              <w14:schemeClr w14:val="tx1">
                <w14:lumMod w14:val="95000"/>
                <w14:lumOff w14:val="5000"/>
              </w14:schemeClr>
            </w14:solidFill>
          </w14:textFill>
        </w:rPr>
      </w:pPr>
      <w:r>
        <w:rPr>
          <w:rFonts w:hint="eastAsia" w:ascii="黑体" w:hAnsi="黑体" w:eastAsia="黑体" w:cs="黑体"/>
          <w:color w:val="0D0D0D" w:themeColor="text1" w:themeTint="F2"/>
          <w:kern w:val="0"/>
          <w:sz w:val="28"/>
          <w:szCs w:val="28"/>
          <w:highlight w:val="none"/>
          <w14:textFill>
            <w14:solidFill>
              <w14:schemeClr w14:val="tx1">
                <w14:lumMod w14:val="95000"/>
                <w14:lumOff w14:val="5000"/>
              </w14:schemeClr>
            </w14:solidFill>
          </w14:textFill>
        </w:rPr>
        <w:t>乙方（经营方）：</w:t>
      </w:r>
    </w:p>
    <w:p w14:paraId="5FDD7E81">
      <w:pPr>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color w:val="0D0D0D" w:themeColor="text1" w:themeTint="F2"/>
          <w:kern w:val="0"/>
          <w:sz w:val="28"/>
          <w:szCs w:val="28"/>
          <w:highlight w:val="none"/>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14:textFill>
            <w14:solidFill>
              <w14:schemeClr w14:val="tx1">
                <w14:lumMod w14:val="95000"/>
                <w14:lumOff w14:val="5000"/>
              </w14:schemeClr>
            </w14:solidFill>
          </w14:textFill>
        </w:rPr>
        <w:t>甲、乙双方根据《中华人民共和国</w:t>
      </w: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民法典</w:t>
      </w:r>
      <w:r>
        <w:rPr>
          <w:rFonts w:hint="eastAsia" w:ascii="仿宋_GB2312" w:hAnsi="仿宋_GB2312" w:eastAsia="仿宋_GB2312" w:cs="仿宋_GB2312"/>
          <w:color w:val="0D0D0D" w:themeColor="text1" w:themeTint="F2"/>
          <w:sz w:val="28"/>
          <w:szCs w:val="28"/>
          <w:highlight w:val="none"/>
          <w14:textFill>
            <w14:solidFill>
              <w14:schemeClr w14:val="tx1">
                <w14:lumMod w14:val="95000"/>
                <w14:lumOff w14:val="5000"/>
              </w14:schemeClr>
            </w14:solidFill>
          </w14:textFill>
        </w:rPr>
        <w:t>》及相关法律法规的规定，本着平等自愿的原则，经双方友好协商一致，就</w:t>
      </w:r>
      <w:r>
        <w:rPr>
          <w:rFonts w:hint="eastAsia" w:ascii="仿宋_GB2312" w:hAnsi="仿宋_GB2312" w:eastAsia="仿宋_GB2312" w:cs="仿宋_GB2312"/>
          <w:bCs/>
          <w:color w:val="0D0D0D" w:themeColor="text1" w:themeTint="F2"/>
          <w:kern w:val="1"/>
          <w:sz w:val="28"/>
          <w:szCs w:val="28"/>
          <w:highlight w:val="none"/>
          <w14:textFill>
            <w14:solidFill>
              <w14:schemeClr w14:val="tx1">
                <w14:lumMod w14:val="95000"/>
                <w14:lumOff w14:val="5000"/>
              </w14:schemeClr>
            </w14:solidFill>
          </w14:textFill>
        </w:rPr>
        <w:t>【</w:t>
      </w: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2025紫蓬山民俗文化周活动市集经营</w:t>
      </w:r>
      <w:r>
        <w:rPr>
          <w:rFonts w:hint="eastAsia" w:ascii="仿宋_GB2312" w:hAnsi="仿宋_GB2312" w:eastAsia="仿宋_GB2312" w:cs="仿宋_GB2312"/>
          <w:bCs/>
          <w:color w:val="0D0D0D" w:themeColor="text1" w:themeTint="F2"/>
          <w:kern w:val="1"/>
          <w:sz w:val="28"/>
          <w:szCs w:val="28"/>
          <w:highlight w:val="none"/>
          <w14:textFill>
            <w14:solidFill>
              <w14:schemeClr w14:val="tx1">
                <w14:lumMod w14:val="95000"/>
                <w14:lumOff w14:val="5000"/>
              </w14:schemeClr>
            </w14:solidFill>
          </w14:textFill>
        </w:rPr>
        <w:t>】</w:t>
      </w:r>
      <w:r>
        <w:rPr>
          <w:rFonts w:hint="eastAsia" w:ascii="仿宋_GB2312" w:hAnsi="仿宋_GB2312" w:eastAsia="仿宋_GB2312" w:cs="仿宋_GB2312"/>
          <w:color w:val="0D0D0D" w:themeColor="text1" w:themeTint="F2"/>
          <w:sz w:val="28"/>
          <w:szCs w:val="28"/>
          <w:highlight w:val="none"/>
          <w14:textFill>
            <w14:solidFill>
              <w14:schemeClr w14:val="tx1">
                <w14:lumMod w14:val="95000"/>
                <w14:lumOff w14:val="5000"/>
              </w14:schemeClr>
            </w14:solidFill>
          </w14:textFill>
        </w:rPr>
        <w:t>相关事宜达成如下合意，以兹共同遵守。</w:t>
      </w:r>
    </w:p>
    <w:p w14:paraId="61B6B90C">
      <w:pPr>
        <w:keepNext w:val="0"/>
        <w:keepLines w:val="0"/>
        <w:pageBreakBefore w:val="0"/>
        <w:widowControl/>
        <w:kinsoku/>
        <w:wordWrap/>
        <w:overflowPunct/>
        <w:topLinePunct w:val="0"/>
        <w:autoSpaceDE/>
        <w:autoSpaceDN/>
        <w:bidi w:val="0"/>
        <w:adjustRightInd/>
        <w:snapToGrid/>
        <w:spacing w:before="100" w:beforeAutospacing="1" w:after="100" w:afterAutospacing="1" w:line="440" w:lineRule="exact"/>
        <w:jc w:val="left"/>
        <w:textAlignment w:val="auto"/>
        <w:rPr>
          <w:rFonts w:hint="eastAsia" w:ascii="黑体" w:hAnsi="黑体" w:eastAsia="黑体" w:cs="黑体"/>
          <w:color w:val="0D0D0D" w:themeColor="text1" w:themeTint="F2"/>
          <w:kern w:val="0"/>
          <w:sz w:val="28"/>
          <w:szCs w:val="28"/>
          <w:highlight w:val="none"/>
          <w14:textFill>
            <w14:solidFill>
              <w14:schemeClr w14:val="tx1">
                <w14:lumMod w14:val="95000"/>
                <w14:lumOff w14:val="5000"/>
              </w14:schemeClr>
            </w14:solidFill>
          </w14:textFill>
        </w:rPr>
      </w:pPr>
      <w:r>
        <w:rPr>
          <w:rFonts w:hint="eastAsia" w:ascii="黑体" w:hAnsi="黑体" w:eastAsia="黑体" w:cs="黑体"/>
          <w:color w:val="0D0D0D" w:themeColor="text1" w:themeTint="F2"/>
          <w:kern w:val="0"/>
          <w:sz w:val="28"/>
          <w:szCs w:val="28"/>
          <w:highlight w:val="none"/>
          <w14:textFill>
            <w14:solidFill>
              <w14:schemeClr w14:val="tx1">
                <w14:lumMod w14:val="95000"/>
                <w14:lumOff w14:val="5000"/>
              </w14:schemeClr>
            </w14:solidFill>
          </w14:textFill>
        </w:rPr>
        <w:t>鉴于：</w:t>
      </w:r>
    </w:p>
    <w:p w14:paraId="28C5FCF0">
      <w:pPr>
        <w:keepNext w:val="0"/>
        <w:keepLines w:val="0"/>
        <w:pageBreakBefore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color w:val="0D0D0D" w:themeColor="text1" w:themeTint="F2"/>
          <w:sz w:val="28"/>
          <w:szCs w:val="36"/>
          <w:highlight w:val="none"/>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36"/>
          <w:highlight w:val="none"/>
          <w14:textFill>
            <w14:solidFill>
              <w14:schemeClr w14:val="tx1">
                <w14:lumMod w14:val="95000"/>
                <w14:lumOff w14:val="5000"/>
              </w14:schemeClr>
            </w14:solidFill>
          </w14:textFill>
        </w:rPr>
        <w:t>1. 甲方将于</w:t>
      </w:r>
      <w:r>
        <w:rPr>
          <w:rFonts w:hint="eastAsia" w:ascii="仿宋_GB2312" w:hAnsi="仿宋_GB2312" w:eastAsia="仿宋_GB2312" w:cs="仿宋_GB2312"/>
          <w:color w:val="0D0D0D" w:themeColor="text1" w:themeTint="F2"/>
          <w:sz w:val="28"/>
          <w:szCs w:val="36"/>
          <w:highlight w:val="none"/>
          <w:u w:val="single"/>
          <w14:textFill>
            <w14:solidFill>
              <w14:schemeClr w14:val="tx1">
                <w14:lumMod w14:val="95000"/>
                <w14:lumOff w14:val="5000"/>
              </w14:schemeClr>
            </w14:solidFill>
          </w14:textFill>
        </w:rPr>
        <w:t>2025年</w:t>
      </w:r>
      <w:r>
        <w:rPr>
          <w:rFonts w:hint="eastAsia" w:ascii="仿宋_GB2312" w:hAnsi="仿宋_GB2312" w:eastAsia="仿宋_GB2312" w:cs="仿宋_GB2312"/>
          <w:color w:val="0D0D0D" w:themeColor="text1" w:themeTint="F2"/>
          <w:sz w:val="28"/>
          <w:szCs w:val="36"/>
          <w:highlight w:val="none"/>
          <w:u w:val="single"/>
          <w:lang w:val="en-US" w:eastAsia="zh-CN"/>
          <w14:textFill>
            <w14:solidFill>
              <w14:schemeClr w14:val="tx1">
                <w14:lumMod w14:val="95000"/>
                <w14:lumOff w14:val="5000"/>
              </w14:schemeClr>
            </w14:solidFill>
          </w14:textFill>
        </w:rPr>
        <w:t>3月18日</w:t>
      </w:r>
      <w:r>
        <w:rPr>
          <w:rFonts w:hint="eastAsia" w:ascii="仿宋_GB2312" w:hAnsi="仿宋_GB2312" w:eastAsia="仿宋_GB2312" w:cs="仿宋_GB2312"/>
          <w:color w:val="0D0D0D" w:themeColor="text1" w:themeTint="F2"/>
          <w:sz w:val="28"/>
          <w:szCs w:val="36"/>
          <w:highlight w:val="none"/>
          <w:u w:val="single"/>
          <w14:textFill>
            <w14:solidFill>
              <w14:schemeClr w14:val="tx1">
                <w14:lumMod w14:val="95000"/>
                <w14:lumOff w14:val="5000"/>
              </w14:schemeClr>
            </w14:solidFill>
          </w14:textFill>
        </w:rPr>
        <w:t>至</w:t>
      </w:r>
      <w:r>
        <w:rPr>
          <w:rFonts w:hint="eastAsia" w:ascii="仿宋_GB2312" w:hAnsi="仿宋_GB2312" w:eastAsia="仿宋_GB2312" w:cs="仿宋_GB2312"/>
          <w:color w:val="0D0D0D" w:themeColor="text1" w:themeTint="F2"/>
          <w:sz w:val="28"/>
          <w:szCs w:val="36"/>
          <w:highlight w:val="none"/>
          <w:u w:val="single"/>
          <w:lang w:val="en-US" w:eastAsia="zh-CN"/>
          <w14:textFill>
            <w14:solidFill>
              <w14:schemeClr w14:val="tx1">
                <w14:lumMod w14:val="95000"/>
                <w14:lumOff w14:val="5000"/>
              </w14:schemeClr>
            </w14:solidFill>
          </w14:textFill>
        </w:rPr>
        <w:t>2025年3月23日</w:t>
      </w:r>
      <w:r>
        <w:rPr>
          <w:rFonts w:hint="eastAsia" w:ascii="仿宋_GB2312" w:hAnsi="仿宋_GB2312" w:eastAsia="仿宋_GB2312" w:cs="仿宋_GB2312"/>
          <w:color w:val="0D0D0D" w:themeColor="text1" w:themeTint="F2"/>
          <w:sz w:val="28"/>
          <w:szCs w:val="36"/>
          <w:highlight w:val="none"/>
          <w14:textFill>
            <w14:solidFill>
              <w14:schemeClr w14:val="tx1">
                <w14:lumMod w14:val="95000"/>
                <w14:lumOff w14:val="5000"/>
              </w14:schemeClr>
            </w14:solidFill>
          </w14:textFill>
        </w:rPr>
        <w:t>在紫蓬山</w:t>
      </w:r>
      <w:r>
        <w:rPr>
          <w:rFonts w:hint="eastAsia" w:ascii="仿宋_GB2312" w:hAnsi="仿宋_GB2312" w:eastAsia="仿宋_GB2312" w:cs="仿宋_GB2312"/>
          <w:color w:val="0D0D0D" w:themeColor="text1" w:themeTint="F2"/>
          <w:sz w:val="28"/>
          <w:szCs w:val="36"/>
          <w:highlight w:val="none"/>
          <w:lang w:val="en-US" w:eastAsia="zh-CN"/>
          <w14:textFill>
            <w14:solidFill>
              <w14:schemeClr w14:val="tx1">
                <w14:lumMod w14:val="95000"/>
                <w14:lumOff w14:val="5000"/>
              </w14:schemeClr>
            </w14:solidFill>
          </w14:textFill>
        </w:rPr>
        <w:t>景区</w:t>
      </w:r>
      <w:r>
        <w:rPr>
          <w:rFonts w:hint="eastAsia" w:ascii="仿宋_GB2312" w:hAnsi="仿宋_GB2312" w:eastAsia="仿宋_GB2312" w:cs="仿宋_GB2312"/>
          <w:color w:val="0D0D0D" w:themeColor="text1" w:themeTint="F2"/>
          <w:sz w:val="28"/>
          <w:szCs w:val="36"/>
          <w:highlight w:val="none"/>
          <w14:textFill>
            <w14:solidFill>
              <w14:schemeClr w14:val="tx1">
                <w14:lumMod w14:val="95000"/>
                <w14:lumOff w14:val="5000"/>
              </w14:schemeClr>
            </w14:solidFill>
          </w14:textFill>
        </w:rPr>
        <w:t xml:space="preserve">举办民俗文化周活动，期间设立市集，供各类商家经营。  </w:t>
      </w:r>
    </w:p>
    <w:p w14:paraId="76DFFD5D">
      <w:pPr>
        <w:keepNext w:val="0"/>
        <w:keepLines w:val="0"/>
        <w:pageBreakBefore w:val="0"/>
        <w:kinsoku/>
        <w:wordWrap/>
        <w:overflowPunct/>
        <w:topLinePunct w:val="0"/>
        <w:autoSpaceDE/>
        <w:autoSpaceDN/>
        <w:bidi w:val="0"/>
        <w:adjustRightInd/>
        <w:snapToGrid/>
        <w:spacing w:line="440" w:lineRule="exact"/>
        <w:textAlignment w:val="auto"/>
        <w:rPr>
          <w:rFonts w:hint="eastAsia"/>
          <w:color w:val="0D0D0D" w:themeColor="text1" w:themeTint="F2"/>
          <w:highlight w:val="none"/>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36"/>
          <w:highlight w:val="none"/>
          <w14:textFill>
            <w14:solidFill>
              <w14:schemeClr w14:val="tx1">
                <w14:lumMod w14:val="95000"/>
                <w14:lumOff w14:val="5000"/>
              </w14:schemeClr>
            </w14:solidFill>
          </w14:textFill>
        </w:rPr>
        <w:t>2. 乙方有意</w:t>
      </w:r>
      <w:r>
        <w:rPr>
          <w:rFonts w:hint="eastAsia" w:ascii="仿宋_GB2312" w:hAnsi="仿宋_GB2312" w:eastAsia="仿宋_GB2312" w:cs="仿宋_GB2312"/>
          <w:color w:val="0D0D0D" w:themeColor="text1" w:themeTint="F2"/>
          <w:sz w:val="28"/>
          <w:szCs w:val="36"/>
          <w:highlight w:val="none"/>
          <w:lang w:val="en-US" w:eastAsia="zh-CN"/>
          <w14:textFill>
            <w14:solidFill>
              <w14:schemeClr w14:val="tx1">
                <w14:lumMod w14:val="95000"/>
                <w14:lumOff w14:val="5000"/>
              </w14:schemeClr>
            </w14:solidFill>
          </w14:textFill>
        </w:rPr>
        <w:t>承包</w:t>
      </w:r>
      <w:r>
        <w:rPr>
          <w:rFonts w:hint="eastAsia" w:ascii="仿宋_GB2312" w:hAnsi="仿宋_GB2312" w:eastAsia="仿宋_GB2312" w:cs="仿宋_GB2312"/>
          <w:color w:val="0D0D0D" w:themeColor="text1" w:themeTint="F2"/>
          <w:sz w:val="28"/>
          <w:szCs w:val="36"/>
          <w:highlight w:val="none"/>
          <w14:textFill>
            <w14:solidFill>
              <w14:schemeClr w14:val="tx1">
                <w14:lumMod w14:val="95000"/>
                <w14:lumOff w14:val="5000"/>
              </w14:schemeClr>
            </w14:solidFill>
          </w14:textFill>
        </w:rPr>
        <w:t>该市集经营活动，双方经协商一致，达成如下合同条款。</w:t>
      </w:r>
    </w:p>
    <w:p w14:paraId="406936BA">
      <w:pPr>
        <w:keepNext w:val="0"/>
        <w:keepLines w:val="0"/>
        <w:pageBreakBefore w:val="0"/>
        <w:widowControl/>
        <w:kinsoku/>
        <w:wordWrap/>
        <w:overflowPunct/>
        <w:topLinePunct w:val="0"/>
        <w:autoSpaceDE/>
        <w:autoSpaceDN/>
        <w:bidi w:val="0"/>
        <w:adjustRightInd/>
        <w:snapToGrid/>
        <w:spacing w:before="100" w:beforeAutospacing="1" w:after="100" w:afterAutospacing="1" w:line="440" w:lineRule="exact"/>
        <w:jc w:val="center"/>
        <w:textAlignment w:val="auto"/>
        <w:rPr>
          <w:rFonts w:hint="eastAsia" w:ascii="黑体" w:hAnsi="黑体" w:eastAsia="黑体" w:cs="黑体"/>
          <w:color w:val="0D0D0D" w:themeColor="text1" w:themeTint="F2"/>
          <w:kern w:val="0"/>
          <w:sz w:val="28"/>
          <w:szCs w:val="28"/>
          <w:highlight w:val="none"/>
          <w14:textFill>
            <w14:solidFill>
              <w14:schemeClr w14:val="tx1">
                <w14:lumMod w14:val="95000"/>
                <w14:lumOff w14:val="5000"/>
              </w14:schemeClr>
            </w14:solidFill>
          </w14:textFill>
        </w:rPr>
      </w:pPr>
      <w:r>
        <w:rPr>
          <w:rFonts w:hint="eastAsia" w:ascii="黑体" w:hAnsi="黑体" w:eastAsia="黑体" w:cs="黑体"/>
          <w:color w:val="0D0D0D" w:themeColor="text1" w:themeTint="F2"/>
          <w:kern w:val="0"/>
          <w:sz w:val="28"/>
          <w:szCs w:val="28"/>
          <w:highlight w:val="none"/>
          <w14:textFill>
            <w14:solidFill>
              <w14:schemeClr w14:val="tx1">
                <w14:lumMod w14:val="95000"/>
                <w14:lumOff w14:val="5000"/>
              </w14:schemeClr>
            </w14:solidFill>
          </w14:textFill>
        </w:rPr>
        <w:t>第一条 合同目的</w:t>
      </w:r>
    </w:p>
    <w:p w14:paraId="212646E9">
      <w:pPr>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hint="eastAsia"/>
          <w:color w:val="0D0D0D" w:themeColor="text1" w:themeTint="F2"/>
          <w:highlight w:val="none"/>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36"/>
          <w:highlight w:val="none"/>
          <w14:textFill>
            <w14:solidFill>
              <w14:schemeClr w14:val="tx1">
                <w14:lumMod w14:val="95000"/>
                <w14:lumOff w14:val="5000"/>
              </w14:schemeClr>
            </w14:solidFill>
          </w14:textFill>
        </w:rPr>
        <w:t>甲方同意乙方在2025紫蓬山民俗文化周活动市集中经营，乙方同意遵守甲方规定的经营规则和要求。</w:t>
      </w:r>
    </w:p>
    <w:p w14:paraId="48CECE9A">
      <w:pPr>
        <w:keepNext w:val="0"/>
        <w:keepLines w:val="0"/>
        <w:pageBreakBefore w:val="0"/>
        <w:widowControl/>
        <w:kinsoku/>
        <w:wordWrap/>
        <w:overflowPunct/>
        <w:topLinePunct w:val="0"/>
        <w:autoSpaceDE/>
        <w:autoSpaceDN/>
        <w:bidi w:val="0"/>
        <w:adjustRightInd/>
        <w:snapToGrid/>
        <w:spacing w:before="100" w:beforeAutospacing="1" w:after="100" w:afterAutospacing="1" w:line="440" w:lineRule="exact"/>
        <w:jc w:val="center"/>
        <w:textAlignment w:val="auto"/>
        <w:rPr>
          <w:rFonts w:hint="eastAsia" w:ascii="黑体" w:hAnsi="黑体" w:eastAsia="黑体" w:cs="黑体"/>
          <w:color w:val="0D0D0D" w:themeColor="text1" w:themeTint="F2"/>
          <w:kern w:val="0"/>
          <w:sz w:val="28"/>
          <w:szCs w:val="28"/>
          <w:highlight w:val="none"/>
          <w14:textFill>
            <w14:solidFill>
              <w14:schemeClr w14:val="tx1">
                <w14:lumMod w14:val="95000"/>
                <w14:lumOff w14:val="5000"/>
              </w14:schemeClr>
            </w14:solidFill>
          </w14:textFill>
        </w:rPr>
      </w:pPr>
      <w:r>
        <w:rPr>
          <w:rFonts w:hint="eastAsia" w:ascii="黑体" w:hAnsi="黑体" w:eastAsia="黑体" w:cs="黑体"/>
          <w:color w:val="0D0D0D" w:themeColor="text1" w:themeTint="F2"/>
          <w:kern w:val="0"/>
          <w:sz w:val="28"/>
          <w:szCs w:val="28"/>
          <w:highlight w:val="none"/>
          <w14:textFill>
            <w14:solidFill>
              <w14:schemeClr w14:val="tx1">
                <w14:lumMod w14:val="95000"/>
                <w14:lumOff w14:val="5000"/>
              </w14:schemeClr>
            </w14:solidFill>
          </w14:textFill>
        </w:rPr>
        <w:t>第二条 经营时间和地点</w:t>
      </w:r>
    </w:p>
    <w:p w14:paraId="4163520B">
      <w:pPr>
        <w:keepNext w:val="0"/>
        <w:keepLines w:val="0"/>
        <w:pageBreakBefore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color w:val="0D0D0D" w:themeColor="text1" w:themeTint="F2"/>
          <w:sz w:val="28"/>
          <w:szCs w:val="36"/>
          <w:highlight w:val="none"/>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36"/>
          <w:highlight w:val="none"/>
          <w14:textFill>
            <w14:solidFill>
              <w14:schemeClr w14:val="tx1">
                <w14:lumMod w14:val="95000"/>
                <w14:lumOff w14:val="5000"/>
              </w14:schemeClr>
            </w14:solidFill>
          </w14:textFill>
        </w:rPr>
        <w:t>1. 经营时间：</w:t>
      </w:r>
      <w:r>
        <w:rPr>
          <w:rFonts w:hint="eastAsia" w:ascii="仿宋_GB2312" w:hAnsi="仿宋_GB2312" w:eastAsia="仿宋_GB2312" w:cs="仿宋_GB2312"/>
          <w:color w:val="0D0D0D" w:themeColor="text1" w:themeTint="F2"/>
          <w:sz w:val="28"/>
          <w:szCs w:val="36"/>
          <w:highlight w:val="none"/>
          <w:u w:val="single"/>
          <w14:textFill>
            <w14:solidFill>
              <w14:schemeClr w14:val="tx1">
                <w14:lumMod w14:val="95000"/>
                <w14:lumOff w14:val="5000"/>
              </w14:schemeClr>
            </w14:solidFill>
          </w14:textFill>
        </w:rPr>
        <w:t>2025年</w:t>
      </w:r>
      <w:r>
        <w:rPr>
          <w:rFonts w:hint="eastAsia" w:ascii="仿宋_GB2312" w:hAnsi="仿宋_GB2312" w:eastAsia="仿宋_GB2312" w:cs="仿宋_GB2312"/>
          <w:color w:val="0D0D0D" w:themeColor="text1" w:themeTint="F2"/>
          <w:sz w:val="28"/>
          <w:szCs w:val="36"/>
          <w:highlight w:val="none"/>
          <w:u w:val="single"/>
          <w:lang w:val="en-US" w:eastAsia="zh-CN"/>
          <w14:textFill>
            <w14:solidFill>
              <w14:schemeClr w14:val="tx1">
                <w14:lumMod w14:val="95000"/>
                <w14:lumOff w14:val="5000"/>
              </w14:schemeClr>
            </w14:solidFill>
          </w14:textFill>
        </w:rPr>
        <w:t>3月18日</w:t>
      </w:r>
      <w:r>
        <w:rPr>
          <w:rFonts w:hint="eastAsia" w:ascii="仿宋_GB2312" w:hAnsi="仿宋_GB2312" w:eastAsia="仿宋_GB2312" w:cs="仿宋_GB2312"/>
          <w:color w:val="0D0D0D" w:themeColor="text1" w:themeTint="F2"/>
          <w:sz w:val="28"/>
          <w:szCs w:val="36"/>
          <w:highlight w:val="none"/>
          <w:u w:val="single"/>
          <w14:textFill>
            <w14:solidFill>
              <w14:schemeClr w14:val="tx1">
                <w14:lumMod w14:val="95000"/>
                <w14:lumOff w14:val="5000"/>
              </w14:schemeClr>
            </w14:solidFill>
          </w14:textFill>
        </w:rPr>
        <w:t>至</w:t>
      </w:r>
      <w:r>
        <w:rPr>
          <w:rFonts w:hint="eastAsia" w:ascii="仿宋_GB2312" w:hAnsi="仿宋_GB2312" w:eastAsia="仿宋_GB2312" w:cs="仿宋_GB2312"/>
          <w:color w:val="0D0D0D" w:themeColor="text1" w:themeTint="F2"/>
          <w:sz w:val="28"/>
          <w:szCs w:val="36"/>
          <w:highlight w:val="none"/>
          <w:u w:val="single"/>
          <w:lang w:val="en-US" w:eastAsia="zh-CN"/>
          <w14:textFill>
            <w14:solidFill>
              <w14:schemeClr w14:val="tx1">
                <w14:lumMod w14:val="95000"/>
                <w14:lumOff w14:val="5000"/>
              </w14:schemeClr>
            </w14:solidFill>
          </w14:textFill>
        </w:rPr>
        <w:t>2025年3月23日</w:t>
      </w:r>
    </w:p>
    <w:p w14:paraId="2CC65C1A">
      <w:pPr>
        <w:keepNext w:val="0"/>
        <w:keepLines w:val="0"/>
        <w:pageBreakBefore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color w:val="0D0D0D" w:themeColor="text1" w:themeTint="F2"/>
          <w:sz w:val="28"/>
          <w:szCs w:val="36"/>
          <w:highlight w:val="none"/>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36"/>
          <w:highlight w:val="none"/>
          <w14:textFill>
            <w14:solidFill>
              <w14:schemeClr w14:val="tx1">
                <w14:lumMod w14:val="95000"/>
                <w14:lumOff w14:val="5000"/>
              </w14:schemeClr>
            </w14:solidFill>
          </w14:textFill>
        </w:rPr>
        <w:t>2. 经营地点：</w:t>
      </w:r>
      <w:r>
        <w:rPr>
          <w:rFonts w:hint="eastAsia" w:ascii="仿宋_GB2312" w:hAnsi="仿宋_GB2312" w:eastAsia="仿宋_GB2312" w:cs="仿宋_GB2312"/>
          <w:color w:val="0D0D0D" w:themeColor="text1" w:themeTint="F2"/>
          <w:spacing w:val="26"/>
          <w:sz w:val="28"/>
          <w:szCs w:val="36"/>
          <w:highlight w:val="none"/>
          <w:u w:val="single"/>
          <w14:textFill>
            <w14:solidFill>
              <w14:schemeClr w14:val="tx1">
                <w14:lumMod w14:val="95000"/>
                <w14:lumOff w14:val="5000"/>
              </w14:schemeClr>
            </w14:solidFill>
          </w14:textFill>
        </w:rPr>
        <w:t>肥西县紫蓬山国家森林公园山门广场</w:t>
      </w:r>
      <w:r>
        <w:rPr>
          <w:rFonts w:hint="eastAsia" w:ascii="仿宋_GB2312" w:hAnsi="仿宋_GB2312" w:eastAsia="仿宋_GB2312" w:cs="仿宋_GB2312"/>
          <w:color w:val="0D0D0D" w:themeColor="text1" w:themeTint="F2"/>
          <w:spacing w:val="26"/>
          <w:sz w:val="28"/>
          <w:szCs w:val="36"/>
          <w:highlight w:val="none"/>
          <w:u w:val="single"/>
          <w:lang w:eastAsia="zh-CN"/>
          <w14:textFill>
            <w14:solidFill>
              <w14:schemeClr w14:val="tx1">
                <w14:lumMod w14:val="95000"/>
                <w14:lumOff w14:val="5000"/>
              </w14:schemeClr>
            </w14:solidFill>
          </w14:textFill>
        </w:rPr>
        <w:t>（</w:t>
      </w:r>
      <w:r>
        <w:rPr>
          <w:rFonts w:hint="eastAsia" w:ascii="仿宋_GB2312" w:hAnsi="仿宋_GB2312" w:eastAsia="仿宋_GB2312" w:cs="仿宋_GB2312"/>
          <w:color w:val="0D0D0D" w:themeColor="text1" w:themeTint="F2"/>
          <w:spacing w:val="26"/>
          <w:sz w:val="28"/>
          <w:szCs w:val="36"/>
          <w:highlight w:val="none"/>
          <w:u w:val="single"/>
          <w:lang w:val="en-US" w:eastAsia="zh-CN"/>
          <w14:textFill>
            <w14:solidFill>
              <w14:schemeClr w14:val="tx1">
                <w14:lumMod w14:val="95000"/>
                <w14:lumOff w14:val="5000"/>
              </w14:schemeClr>
            </w14:solidFill>
          </w14:textFill>
        </w:rPr>
        <w:t>如下图示</w:t>
      </w:r>
      <w:r>
        <w:rPr>
          <w:rFonts w:hint="eastAsia" w:ascii="仿宋_GB2312" w:hAnsi="仿宋_GB2312" w:eastAsia="仿宋_GB2312" w:cs="仿宋_GB2312"/>
          <w:color w:val="0D0D0D" w:themeColor="text1" w:themeTint="F2"/>
          <w:spacing w:val="26"/>
          <w:sz w:val="28"/>
          <w:szCs w:val="36"/>
          <w:highlight w:val="none"/>
          <w:u w:val="single"/>
          <w:lang w:eastAsia="zh-CN"/>
          <w14:textFill>
            <w14:solidFill>
              <w14:schemeClr w14:val="tx1">
                <w14:lumMod w14:val="95000"/>
                <w14:lumOff w14:val="5000"/>
              </w14:schemeClr>
            </w14:solidFill>
          </w14:textFill>
        </w:rPr>
        <w:t>）</w:t>
      </w:r>
      <w:r>
        <w:rPr>
          <w:rFonts w:hint="eastAsia" w:ascii="仿宋_GB2312" w:hAnsi="仿宋_GB2312" w:eastAsia="仿宋_GB2312" w:cs="仿宋_GB2312"/>
          <w:color w:val="0D0D0D" w:themeColor="text1" w:themeTint="F2"/>
          <w:sz w:val="28"/>
          <w:szCs w:val="36"/>
          <w:highlight w:val="none"/>
          <w14:textFill>
            <w14:solidFill>
              <w14:schemeClr w14:val="tx1">
                <w14:lumMod w14:val="95000"/>
                <w14:lumOff w14:val="5000"/>
              </w14:schemeClr>
            </w14:solidFill>
          </w14:textFill>
        </w:rPr>
        <w:t>。</w:t>
      </w:r>
    </w:p>
    <w:p w14:paraId="2CA750FE">
      <w:pPr>
        <w:keepNext w:val="0"/>
        <w:keepLines w:val="0"/>
        <w:pageBreakBefore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color w:val="0D0D0D" w:themeColor="text1" w:themeTint="F2"/>
          <w:sz w:val="28"/>
          <w:szCs w:val="36"/>
          <w:highlight w:val="none"/>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36"/>
          <w:highlight w:val="none"/>
          <w14:textFill>
            <w14:solidFill>
              <w14:schemeClr w14:val="tx1">
                <w14:lumMod w14:val="95000"/>
                <w14:lumOff w14:val="5000"/>
              </w14:schemeClr>
            </w14:solidFill>
          </w14:textFill>
        </w:rPr>
        <w:drawing>
          <wp:inline distT="0" distB="0" distL="114300" distR="114300">
            <wp:extent cx="5272405" cy="3412490"/>
            <wp:effectExtent l="0" t="0" r="4445" b="16510"/>
            <wp:docPr id="2" name="图片 2" descr="718bc88ba24cb0c84d4b45f67d8f0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718bc88ba24cb0c84d4b45f67d8f02e"/>
                    <pic:cNvPicPr>
                      <a:picLocks noChangeAspect="1"/>
                    </pic:cNvPicPr>
                  </pic:nvPicPr>
                  <pic:blipFill>
                    <a:blip r:embed="rId6"/>
                    <a:stretch>
                      <a:fillRect/>
                    </a:stretch>
                  </pic:blipFill>
                  <pic:spPr>
                    <a:xfrm>
                      <a:off x="0" y="0"/>
                      <a:ext cx="5272405" cy="3412490"/>
                    </a:xfrm>
                    <a:prstGeom prst="rect">
                      <a:avLst/>
                    </a:prstGeom>
                  </pic:spPr>
                </pic:pic>
              </a:graphicData>
            </a:graphic>
          </wp:inline>
        </w:drawing>
      </w:r>
      <w:r>
        <w:rPr>
          <w:rFonts w:hint="eastAsia" w:ascii="仿宋_GB2312" w:hAnsi="仿宋_GB2312" w:eastAsia="仿宋_GB2312" w:cs="仿宋_GB2312"/>
          <w:color w:val="0D0D0D" w:themeColor="text1" w:themeTint="F2"/>
          <w:sz w:val="28"/>
          <w:szCs w:val="36"/>
          <w:highlight w:val="none"/>
          <w14:textFill>
            <w14:solidFill>
              <w14:schemeClr w14:val="tx1">
                <w14:lumMod w14:val="95000"/>
                <w14:lumOff w14:val="5000"/>
              </w14:schemeClr>
            </w14:solidFill>
          </w14:textFill>
        </w:rPr>
        <w:t xml:space="preserve">  </w:t>
      </w:r>
    </w:p>
    <w:p w14:paraId="31501ED7">
      <w:pPr>
        <w:keepNext w:val="0"/>
        <w:keepLines w:val="0"/>
        <w:pageBreakBefore w:val="0"/>
        <w:kinsoku/>
        <w:wordWrap/>
        <w:overflowPunct/>
        <w:topLinePunct w:val="0"/>
        <w:autoSpaceDE/>
        <w:autoSpaceDN/>
        <w:bidi w:val="0"/>
        <w:adjustRightInd/>
        <w:snapToGrid/>
        <w:spacing w:line="440" w:lineRule="exact"/>
        <w:textAlignment w:val="auto"/>
        <w:rPr>
          <w:rFonts w:hint="eastAsia"/>
          <w:color w:val="0D0D0D" w:themeColor="text1" w:themeTint="F2"/>
          <w:highlight w:val="none"/>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36"/>
          <w:highlight w:val="none"/>
          <w14:textFill>
            <w14:solidFill>
              <w14:schemeClr w14:val="tx1">
                <w14:lumMod w14:val="95000"/>
                <w14:lumOff w14:val="5000"/>
              </w14:schemeClr>
            </w14:solidFill>
          </w14:textFill>
        </w:rPr>
        <w:t>3. 乙方应</w:t>
      </w:r>
      <w:r>
        <w:rPr>
          <w:rFonts w:hint="eastAsia" w:ascii="仿宋_GB2312" w:hAnsi="仿宋_GB2312" w:eastAsia="仿宋_GB2312" w:cs="仿宋_GB2312"/>
          <w:color w:val="0D0D0D" w:themeColor="text1" w:themeTint="F2"/>
          <w:sz w:val="28"/>
          <w:szCs w:val="36"/>
          <w:highlight w:val="none"/>
          <w:lang w:val="en-US" w:eastAsia="zh-CN"/>
          <w14:textFill>
            <w14:solidFill>
              <w14:schemeClr w14:val="tx1">
                <w14:lumMod w14:val="95000"/>
                <w14:lumOff w14:val="5000"/>
              </w14:schemeClr>
            </w14:solidFill>
          </w14:textFill>
        </w:rPr>
        <w:t>确保</w:t>
      </w:r>
      <w:r>
        <w:rPr>
          <w:rFonts w:hint="eastAsia" w:ascii="仿宋_GB2312" w:hAnsi="仿宋_GB2312" w:eastAsia="仿宋_GB2312" w:cs="仿宋_GB2312"/>
          <w:color w:val="0D0D0D" w:themeColor="text1" w:themeTint="F2"/>
          <w:sz w:val="28"/>
          <w:szCs w:val="36"/>
          <w:highlight w:val="none"/>
          <w14:textFill>
            <w14:solidFill>
              <w14:schemeClr w14:val="tx1">
                <w14:lumMod w14:val="95000"/>
                <w14:lumOff w14:val="5000"/>
              </w14:schemeClr>
            </w14:solidFill>
          </w14:textFill>
        </w:rPr>
        <w:t>按时</w:t>
      </w:r>
      <w:r>
        <w:rPr>
          <w:rFonts w:hint="default" w:ascii="仿宋_GB2312" w:hAnsi="仿宋_GB2312" w:eastAsia="仿宋_GB2312" w:cs="仿宋_GB2312"/>
          <w:color w:val="0D0D0D" w:themeColor="text1" w:themeTint="F2"/>
          <w:sz w:val="28"/>
          <w:szCs w:val="36"/>
          <w:highlight w:val="none"/>
          <w:lang w:val="en-US"/>
          <w14:textFill>
            <w14:solidFill>
              <w14:schemeClr w14:val="tx1">
                <w14:lumMod w14:val="95000"/>
                <w14:lumOff w14:val="5000"/>
              </w14:schemeClr>
            </w14:solidFill>
          </w14:textFill>
        </w:rPr>
        <w:t>到</w:t>
      </w:r>
      <w:r>
        <w:rPr>
          <w:rFonts w:hint="eastAsia" w:ascii="仿宋_GB2312" w:hAnsi="仿宋_GB2312" w:eastAsia="仿宋_GB2312" w:cs="仿宋_GB2312"/>
          <w:color w:val="0D0D0D" w:themeColor="text1" w:themeTint="F2"/>
          <w:sz w:val="28"/>
          <w:szCs w:val="36"/>
          <w:highlight w:val="none"/>
          <w14:textFill>
            <w14:solidFill>
              <w14:schemeClr w14:val="tx1">
                <w14:lumMod w14:val="95000"/>
                <w14:lumOff w14:val="5000"/>
              </w14:schemeClr>
            </w14:solidFill>
          </w14:textFill>
        </w:rPr>
        <w:t>场</w:t>
      </w:r>
      <w:r>
        <w:rPr>
          <w:rFonts w:hint="eastAsia" w:ascii="仿宋_GB2312" w:hAnsi="仿宋_GB2312" w:eastAsia="仿宋_GB2312" w:cs="仿宋_GB2312"/>
          <w:color w:val="0D0D0D" w:themeColor="text1" w:themeTint="F2"/>
          <w:sz w:val="28"/>
          <w:szCs w:val="36"/>
          <w:highlight w:val="none"/>
          <w:lang w:val="en-US" w:eastAsia="zh-CN"/>
          <w14:textFill>
            <w14:solidFill>
              <w14:schemeClr w14:val="tx1">
                <w14:lumMod w14:val="95000"/>
                <w14:lumOff w14:val="5000"/>
              </w14:schemeClr>
            </w14:solidFill>
          </w14:textFill>
        </w:rPr>
        <w:t>并布场</w:t>
      </w:r>
      <w:r>
        <w:rPr>
          <w:rFonts w:hint="eastAsia" w:ascii="仿宋_GB2312" w:hAnsi="仿宋_GB2312" w:eastAsia="仿宋_GB2312" w:cs="仿宋_GB2312"/>
          <w:color w:val="0D0D0D" w:themeColor="text1" w:themeTint="F2"/>
          <w:sz w:val="28"/>
          <w:szCs w:val="36"/>
          <w:highlight w:val="none"/>
          <w14:textFill>
            <w14:solidFill>
              <w14:schemeClr w14:val="tx1">
                <w14:lumMod w14:val="95000"/>
                <w14:lumOff w14:val="5000"/>
              </w14:schemeClr>
            </w14:solidFill>
          </w14:textFill>
        </w:rPr>
        <w:t>，不得提前撤场或延迟入场。</w:t>
      </w:r>
    </w:p>
    <w:p w14:paraId="72B8E4DF">
      <w:pPr>
        <w:keepNext w:val="0"/>
        <w:keepLines w:val="0"/>
        <w:pageBreakBefore w:val="0"/>
        <w:widowControl/>
        <w:kinsoku/>
        <w:wordWrap/>
        <w:overflowPunct/>
        <w:topLinePunct w:val="0"/>
        <w:autoSpaceDE/>
        <w:autoSpaceDN/>
        <w:bidi w:val="0"/>
        <w:adjustRightInd/>
        <w:snapToGrid/>
        <w:spacing w:before="100" w:beforeAutospacing="1" w:after="100" w:afterAutospacing="1" w:line="440" w:lineRule="exact"/>
        <w:jc w:val="center"/>
        <w:textAlignment w:val="auto"/>
        <w:rPr>
          <w:rFonts w:hint="default" w:ascii="黑体" w:hAnsi="黑体" w:eastAsia="黑体" w:cs="黑体"/>
          <w:color w:val="0D0D0D" w:themeColor="text1" w:themeTint="F2"/>
          <w:kern w:val="0"/>
          <w:sz w:val="28"/>
          <w:szCs w:val="28"/>
          <w:highlight w:val="none"/>
          <w:lang w:val="en-US" w:eastAsia="zh-CN"/>
          <w14:textFill>
            <w14:solidFill>
              <w14:schemeClr w14:val="tx1">
                <w14:lumMod w14:val="95000"/>
                <w14:lumOff w14:val="5000"/>
              </w14:schemeClr>
            </w14:solidFill>
          </w14:textFill>
        </w:rPr>
      </w:pPr>
      <w:r>
        <w:rPr>
          <w:rFonts w:hint="eastAsia" w:ascii="黑体" w:hAnsi="黑体" w:eastAsia="黑体" w:cs="黑体"/>
          <w:color w:val="0D0D0D" w:themeColor="text1" w:themeTint="F2"/>
          <w:kern w:val="0"/>
          <w:sz w:val="28"/>
          <w:szCs w:val="28"/>
          <w:highlight w:val="none"/>
          <w14:textFill>
            <w14:solidFill>
              <w14:schemeClr w14:val="tx1">
                <w14:lumMod w14:val="95000"/>
                <w14:lumOff w14:val="5000"/>
              </w14:schemeClr>
            </w14:solidFill>
          </w14:textFill>
        </w:rPr>
        <w:t xml:space="preserve">第三条 </w:t>
      </w:r>
      <w:r>
        <w:rPr>
          <w:rFonts w:hint="eastAsia" w:ascii="黑体" w:hAnsi="黑体" w:eastAsia="黑体" w:cs="黑体"/>
          <w:color w:val="0D0D0D" w:themeColor="text1" w:themeTint="F2"/>
          <w:kern w:val="0"/>
          <w:sz w:val="28"/>
          <w:szCs w:val="28"/>
          <w:highlight w:val="none"/>
          <w:lang w:val="en-US" w:eastAsia="zh-CN"/>
          <w14:textFill>
            <w14:solidFill>
              <w14:schemeClr w14:val="tx1">
                <w14:lumMod w14:val="95000"/>
                <w14:lumOff w14:val="5000"/>
              </w14:schemeClr>
            </w14:solidFill>
          </w14:textFill>
        </w:rPr>
        <w:t>场地</w:t>
      </w:r>
      <w:r>
        <w:rPr>
          <w:rFonts w:hint="default" w:ascii="黑体" w:hAnsi="黑体" w:eastAsia="黑体" w:cs="黑体"/>
          <w:color w:val="0D0D0D" w:themeColor="text1" w:themeTint="F2"/>
          <w:kern w:val="0"/>
          <w:sz w:val="28"/>
          <w:szCs w:val="28"/>
          <w:highlight w:val="none"/>
          <w:lang w:val="en-US"/>
          <w14:textFill>
            <w14:solidFill>
              <w14:schemeClr w14:val="tx1">
                <w14:lumMod w14:val="95000"/>
                <w14:lumOff w14:val="5000"/>
              </w14:schemeClr>
            </w14:solidFill>
          </w14:textFill>
        </w:rPr>
        <w:t>费用</w:t>
      </w:r>
      <w:r>
        <w:rPr>
          <w:rFonts w:hint="eastAsia" w:ascii="黑体" w:hAnsi="黑体" w:eastAsia="黑体" w:cs="黑体"/>
          <w:color w:val="0D0D0D" w:themeColor="text1" w:themeTint="F2"/>
          <w:kern w:val="0"/>
          <w:sz w:val="28"/>
          <w:szCs w:val="28"/>
          <w:highlight w:val="none"/>
          <w14:textFill>
            <w14:solidFill>
              <w14:schemeClr w14:val="tx1">
                <w14:lumMod w14:val="95000"/>
                <w14:lumOff w14:val="5000"/>
              </w14:schemeClr>
            </w14:solidFill>
          </w14:textFill>
        </w:rPr>
        <w:t>及</w:t>
      </w:r>
      <w:r>
        <w:rPr>
          <w:rFonts w:hint="default" w:ascii="黑体" w:hAnsi="黑体" w:eastAsia="黑体" w:cs="黑体"/>
          <w:color w:val="0D0D0D" w:themeColor="text1" w:themeTint="F2"/>
          <w:kern w:val="0"/>
          <w:sz w:val="28"/>
          <w:szCs w:val="28"/>
          <w:highlight w:val="none"/>
          <w:lang w:val="en-US"/>
          <w14:textFill>
            <w14:solidFill>
              <w14:schemeClr w14:val="tx1">
                <w14:lumMod w14:val="95000"/>
                <w14:lumOff w14:val="5000"/>
              </w14:schemeClr>
            </w14:solidFill>
          </w14:textFill>
        </w:rPr>
        <w:t>支付方式</w:t>
      </w:r>
    </w:p>
    <w:p w14:paraId="31AD15F0">
      <w:pPr>
        <w:keepNext w:val="0"/>
        <w:keepLines w:val="0"/>
        <w:pageBreakBefore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color w:val="0D0D0D" w:themeColor="text1" w:themeTint="F2"/>
          <w:sz w:val="28"/>
          <w:szCs w:val="28"/>
          <w:highlight w:val="none"/>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14:textFill>
            <w14:solidFill>
              <w14:schemeClr w14:val="tx1">
                <w14:lumMod w14:val="95000"/>
                <w14:lumOff w14:val="5000"/>
              </w14:schemeClr>
            </w14:solidFill>
          </w14:textFill>
        </w:rPr>
        <w:t xml:space="preserve">1. </w:t>
      </w: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场地费</w:t>
      </w:r>
      <w:r>
        <w:rPr>
          <w:rFonts w:hint="eastAsia" w:ascii="仿宋_GB2312" w:hAnsi="仿宋_GB2312" w:eastAsia="仿宋_GB2312" w:cs="仿宋_GB2312"/>
          <w:color w:val="0D0D0D" w:themeColor="text1" w:themeTint="F2"/>
          <w:sz w:val="28"/>
          <w:szCs w:val="28"/>
          <w:highlight w:val="none"/>
          <w14:textFill>
            <w14:solidFill>
              <w14:schemeClr w14:val="tx1">
                <w14:lumMod w14:val="95000"/>
                <w14:lumOff w14:val="5000"/>
              </w14:schemeClr>
            </w14:solidFill>
          </w14:textFill>
        </w:rPr>
        <w:t>：乙方应向甲方</w:t>
      </w: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缴纳场地费用</w:t>
      </w:r>
      <w:r>
        <w:rPr>
          <w:rFonts w:hint="eastAsia" w:ascii="仿宋_GB2312" w:hAnsi="仿宋_GB2312" w:eastAsia="仿宋_GB2312" w:cs="仿宋_GB2312"/>
          <w:color w:val="0D0D0D" w:themeColor="text1" w:themeTint="F2"/>
          <w:sz w:val="28"/>
          <w:szCs w:val="28"/>
          <w:highlight w:val="none"/>
          <w:u w:val="single"/>
          <w:lang w:val="en-US" w:eastAsia="zh-CN"/>
          <w14:textFill>
            <w14:solidFill>
              <w14:schemeClr w14:val="tx1">
                <w14:lumMod w14:val="95000"/>
                <w14:lumOff w14:val="5000"/>
              </w14:schemeClr>
            </w14:solidFill>
          </w14:textFill>
        </w:rPr>
        <w:t xml:space="preserve">  </w:t>
      </w:r>
      <w:r>
        <w:rPr>
          <w:rFonts w:hint="eastAsia" w:ascii="仿宋_GB2312" w:hAnsi="仿宋_GB2312" w:eastAsia="仿宋_GB2312" w:cs="仿宋_GB2312"/>
          <w:color w:val="0D0D0D" w:themeColor="text1" w:themeTint="F2"/>
          <w:sz w:val="28"/>
          <w:szCs w:val="28"/>
          <w:highlight w:val="none"/>
          <w14:textFill>
            <w14:solidFill>
              <w14:schemeClr w14:val="tx1">
                <w14:lumMod w14:val="95000"/>
                <w14:lumOff w14:val="5000"/>
              </w14:schemeClr>
            </w14:solidFill>
          </w14:textFill>
        </w:rPr>
        <w:t xml:space="preserve">元（大写：[金额大写]）。  </w:t>
      </w:r>
    </w:p>
    <w:p w14:paraId="75A2AA0C">
      <w:pPr>
        <w:keepNext w:val="0"/>
        <w:keepLines w:val="0"/>
        <w:pageBreakBefore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color w:val="0D0D0D" w:themeColor="text1" w:themeTint="F2"/>
          <w:sz w:val="28"/>
          <w:szCs w:val="28"/>
          <w:highlight w:val="none"/>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2. 支付方式：乙方应于2025年3月16日前向甲方缴纳场地费，</w:t>
      </w:r>
      <w:r>
        <w:rPr>
          <w:rFonts w:hint="eastAsia" w:ascii="仿宋_GB2312" w:hAnsi="仿宋_GB2312" w:eastAsia="仿宋_GB2312" w:cs="仿宋_GB2312"/>
          <w:color w:val="0D0D0D" w:themeColor="text1" w:themeTint="F2"/>
          <w:sz w:val="28"/>
          <w:szCs w:val="28"/>
          <w:highlight w:val="none"/>
          <w14:textFill>
            <w14:solidFill>
              <w14:schemeClr w14:val="tx1">
                <w14:lumMod w14:val="95000"/>
                <w14:lumOff w14:val="5000"/>
              </w14:schemeClr>
            </w14:solidFill>
          </w14:textFill>
        </w:rPr>
        <w:t xml:space="preserve">支付全款至甲方指定账户。 </w:t>
      </w:r>
    </w:p>
    <w:p w14:paraId="05E853FE">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3. 运营分成：乙方须设立市集经营收入专户，为除甲方展位外的所有入驻商户配备统一管理实时分账的收款二维码。针对乙方市集经营所得收入（包括乙方自营摊位销售额，与其他商户分成收益、摊位租金收益等）与甲方分成，乙方须在活动结束后</w:t>
      </w:r>
      <w:r>
        <w:rPr>
          <w:rFonts w:hint="eastAsia" w:ascii="仿宋_GB2312" w:hAnsi="仿宋_GB2312" w:eastAsia="仿宋_GB2312" w:cs="仿宋_GB2312"/>
          <w:color w:val="0D0D0D" w:themeColor="text1" w:themeTint="F2"/>
          <w:sz w:val="28"/>
          <w:szCs w:val="28"/>
          <w:highlight w:val="none"/>
          <w:u w:val="single"/>
          <w:lang w:val="en-US" w:eastAsia="zh-CN"/>
          <w14:textFill>
            <w14:solidFill>
              <w14:schemeClr w14:val="tx1">
                <w14:lumMod w14:val="95000"/>
                <w14:lumOff w14:val="5000"/>
              </w14:schemeClr>
            </w14:solidFill>
          </w14:textFill>
        </w:rPr>
        <w:t>15日</w:t>
      </w: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内向甲方指定账户支付市集经营所得收入的5%。乙方需统一收银，提交营收报表，并接受我方财务审计。乙方应向甲方提供收营专户信息，甲方有权随时查看营收状况。</w:t>
      </w:r>
    </w:p>
    <w:p w14:paraId="50F7BA4B">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4. 活动保证金：乙方应于2025年3月16日前向甲方缴纳活动保证金</w:t>
      </w:r>
      <w:r>
        <w:rPr>
          <w:rFonts w:hint="eastAsia" w:ascii="仿宋_GB2312" w:hAnsi="仿宋_GB2312" w:eastAsia="仿宋_GB2312" w:cs="仿宋_GB2312"/>
          <w:color w:val="0D0D0D" w:themeColor="text1" w:themeTint="F2"/>
          <w:sz w:val="28"/>
          <w:szCs w:val="28"/>
          <w:highlight w:val="none"/>
          <w:u w:val="single"/>
          <w:lang w:val="en-US" w:eastAsia="zh-CN"/>
          <w14:textFill>
            <w14:solidFill>
              <w14:schemeClr w14:val="tx1">
                <w14:lumMod w14:val="95000"/>
                <w14:lumOff w14:val="5000"/>
              </w14:schemeClr>
            </w14:solidFill>
          </w14:textFill>
        </w:rPr>
        <w:t>100000</w:t>
      </w: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元</w:t>
      </w:r>
      <w:r>
        <w:rPr>
          <w:rFonts w:hint="eastAsia" w:ascii="仿宋_GB2312" w:hAnsi="仿宋_GB2312" w:eastAsia="仿宋_GB2312" w:cs="仿宋_GB2312"/>
          <w:color w:val="0D0D0D" w:themeColor="text1" w:themeTint="F2"/>
          <w:sz w:val="28"/>
          <w:szCs w:val="28"/>
          <w:highlight w:val="none"/>
          <w14:textFill>
            <w14:solidFill>
              <w14:schemeClr w14:val="tx1">
                <w14:lumMod w14:val="95000"/>
                <w14:lumOff w14:val="5000"/>
              </w14:schemeClr>
            </w14:solidFill>
          </w14:textFill>
        </w:rPr>
        <w:t>（大写：</w:t>
      </w: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壹拾万元整</w:t>
      </w:r>
      <w:r>
        <w:rPr>
          <w:rFonts w:hint="eastAsia" w:ascii="仿宋_GB2312" w:hAnsi="仿宋_GB2312" w:eastAsia="仿宋_GB2312" w:cs="仿宋_GB2312"/>
          <w:color w:val="0D0D0D" w:themeColor="text1" w:themeTint="F2"/>
          <w:sz w:val="28"/>
          <w:szCs w:val="28"/>
          <w:highlight w:val="none"/>
          <w14:textFill>
            <w14:solidFill>
              <w14:schemeClr w14:val="tx1">
                <w14:lumMod w14:val="95000"/>
                <w14:lumOff w14:val="5000"/>
              </w14:schemeClr>
            </w14:solidFill>
          </w14:textFill>
        </w:rPr>
        <w:t>）</w:t>
      </w:r>
      <w:r>
        <w:rPr>
          <w:rFonts w:hint="eastAsia" w:ascii="仿宋_GB2312" w:hAnsi="仿宋_GB2312" w:eastAsia="仿宋_GB2312" w:cs="仿宋_GB2312"/>
          <w:color w:val="0D0D0D" w:themeColor="text1" w:themeTint="F2"/>
          <w:sz w:val="28"/>
          <w:szCs w:val="28"/>
          <w:highlight w:val="none"/>
          <w:lang w:eastAsia="zh-CN"/>
          <w14:textFill>
            <w14:solidFill>
              <w14:schemeClr w14:val="tx1">
                <w14:lumMod w14:val="95000"/>
                <w14:lumOff w14:val="5000"/>
              </w14:schemeClr>
            </w14:solidFill>
          </w14:textFill>
        </w:rPr>
        <w:t>，</w:t>
      </w:r>
      <w:r>
        <w:rPr>
          <w:rFonts w:hint="eastAsia" w:ascii="仿宋_GB2312" w:hAnsi="仿宋_GB2312" w:eastAsia="仿宋_GB2312" w:cs="仿宋_GB2312"/>
          <w:color w:val="0D0D0D" w:themeColor="text1" w:themeTint="F2"/>
          <w:sz w:val="28"/>
          <w:szCs w:val="28"/>
          <w:highlight w:val="none"/>
          <w14:textFill>
            <w14:solidFill>
              <w14:schemeClr w14:val="tx1">
                <w14:lumMod w14:val="95000"/>
                <w14:lumOff w14:val="5000"/>
              </w14:schemeClr>
            </w14:solidFill>
          </w14:textFill>
        </w:rPr>
        <w:t>支付全款至甲方指定账户</w:t>
      </w:r>
      <w:r>
        <w:rPr>
          <w:rFonts w:hint="eastAsia" w:ascii="仿宋_GB2312" w:hAnsi="仿宋_GB2312" w:eastAsia="仿宋_GB2312" w:cs="仿宋_GB2312"/>
          <w:color w:val="0D0D0D" w:themeColor="text1" w:themeTint="F2"/>
          <w:sz w:val="28"/>
          <w:szCs w:val="28"/>
          <w:highlight w:val="none"/>
          <w:lang w:eastAsia="zh-CN"/>
          <w14:textFill>
            <w14:solidFill>
              <w14:schemeClr w14:val="tx1">
                <w14:lumMod w14:val="95000"/>
                <w14:lumOff w14:val="5000"/>
              </w14:schemeClr>
            </w14:solidFill>
          </w14:textFill>
        </w:rPr>
        <w:t>。</w:t>
      </w: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保证金用作市集正常经营、活动场地设施、环境卫生、公共安全保障等。若乙方无违约行为且乙方支付全部分成款项后，则保证金在活动结束后</w:t>
      </w:r>
      <w:r>
        <w:rPr>
          <w:rFonts w:hint="eastAsia" w:ascii="仿宋_GB2312" w:hAnsi="仿宋_GB2312" w:eastAsia="仿宋_GB2312" w:cs="仿宋_GB2312"/>
          <w:color w:val="0D0D0D" w:themeColor="text1" w:themeTint="F2"/>
          <w:sz w:val="28"/>
          <w:szCs w:val="28"/>
          <w:highlight w:val="none"/>
          <w:u w:val="single"/>
          <w:lang w:val="en-US" w:eastAsia="zh-CN"/>
          <w14:textFill>
            <w14:solidFill>
              <w14:schemeClr w14:val="tx1">
                <w14:lumMod w14:val="95000"/>
                <w14:lumOff w14:val="5000"/>
              </w14:schemeClr>
            </w14:solidFill>
          </w14:textFill>
        </w:rPr>
        <w:t>30日</w:t>
      </w: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内无息全额退还。</w:t>
      </w:r>
    </w:p>
    <w:p w14:paraId="2473222D">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 xml:space="preserve">5. 账户信息：  </w:t>
      </w:r>
    </w:p>
    <w:p w14:paraId="780759E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 xml:space="preserve">   开户行： [徽商银行股份有限公司肥西支行]  </w:t>
      </w:r>
    </w:p>
    <w:p w14:paraId="2A3F16CF">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 xml:space="preserve">   账户名： [肥西县紫蓬山文化旅游开发有限公司]  </w:t>
      </w:r>
    </w:p>
    <w:p w14:paraId="227E99F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 xml:space="preserve">   账号： [261682541551000002]</w:t>
      </w:r>
    </w:p>
    <w:p w14:paraId="36FA81F9">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0D0D0D" w:themeColor="text1" w:themeTint="F2"/>
          <w:kern w:val="0"/>
          <w:sz w:val="28"/>
          <w:szCs w:val="28"/>
          <w:highlight w:val="none"/>
          <w:lang w:val="en-US" w:eastAsia="zh-CN"/>
          <w14:textFill>
            <w14:solidFill>
              <w14:schemeClr w14:val="tx1">
                <w14:lumMod w14:val="95000"/>
                <w14:lumOff w14:val="5000"/>
              </w14:schemeClr>
            </w14:solidFill>
          </w14:textFill>
        </w:rPr>
      </w:pPr>
      <w:r>
        <w:rPr>
          <w:rFonts w:hint="eastAsia" w:ascii="黑体" w:hAnsi="黑体" w:eastAsia="黑体" w:cs="黑体"/>
          <w:color w:val="0D0D0D" w:themeColor="text1" w:themeTint="F2"/>
          <w:kern w:val="0"/>
          <w:sz w:val="28"/>
          <w:szCs w:val="28"/>
          <w:highlight w:val="none"/>
          <w:lang w:val="en-US" w:eastAsia="zh-CN"/>
          <w14:textFill>
            <w14:solidFill>
              <w14:schemeClr w14:val="tx1">
                <w14:lumMod w14:val="95000"/>
                <w14:lumOff w14:val="5000"/>
              </w14:schemeClr>
            </w14:solidFill>
          </w14:textFill>
        </w:rPr>
        <w:t>市集经营管理要求</w:t>
      </w:r>
    </w:p>
    <w:p w14:paraId="7D602D83">
      <w:pPr>
        <w:keepNext w:val="0"/>
        <w:keepLines w:val="0"/>
        <w:pageBreakBefore w:val="0"/>
        <w:widowControl w:val="0"/>
        <w:numPr>
          <w:ilvl w:val="0"/>
          <w:numId w:val="2"/>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bCs w:val="0"/>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b w:val="0"/>
          <w:bCs w:val="0"/>
          <w:color w:val="0D0D0D" w:themeColor="text1" w:themeTint="F2"/>
          <w:sz w:val="28"/>
          <w:szCs w:val="28"/>
          <w:highlight w:val="none"/>
          <w:lang w:val="en-US" w:eastAsia="zh-CN"/>
          <w14:textFill>
            <w14:solidFill>
              <w14:schemeClr w14:val="tx1">
                <w14:lumMod w14:val="95000"/>
                <w14:lumOff w14:val="5000"/>
              </w14:schemeClr>
            </w14:solidFill>
          </w14:textFill>
        </w:rPr>
        <w:t>活动方案：乙方需提供运营方案，经甲方确认通过后实施，并保证按照运营方案落地执行。要求区域布局及市集设计风格、颜色保持一致，具有较高美观度；现场搭建不损坏活动场地；各项事宜执行有具体负责人并确保能及时响应；乙方须制定市集运营紧急预案。</w:t>
      </w:r>
    </w:p>
    <w:p w14:paraId="1E072FFF">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b w:val="0"/>
          <w:bCs w:val="0"/>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b w:val="0"/>
          <w:bCs w:val="0"/>
          <w:color w:val="0D0D0D" w:themeColor="text1" w:themeTint="F2"/>
          <w:sz w:val="28"/>
          <w:szCs w:val="28"/>
          <w:highlight w:val="none"/>
          <w:lang w:val="en-US" w:eastAsia="zh-CN"/>
          <w14:textFill>
            <w14:solidFill>
              <w14:schemeClr w14:val="tx1">
                <w14:lumMod w14:val="95000"/>
                <w14:lumOff w14:val="5000"/>
              </w14:schemeClr>
            </w14:solidFill>
          </w14:textFill>
        </w:rPr>
        <w:t>舞台搭建：乙方须在活动场地搭建舞台，每天开展演艺活动。</w:t>
      </w:r>
    </w:p>
    <w:p w14:paraId="5AB68BA4">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textAlignment w:val="auto"/>
        <w:rPr>
          <w:rFonts w:hint="default" w:ascii="仿宋_GB2312" w:hAnsi="仿宋_GB2312" w:eastAsia="仿宋_GB2312" w:cs="仿宋_GB2312"/>
          <w:b w:val="0"/>
          <w:bCs w:val="0"/>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b w:val="0"/>
          <w:bCs w:val="0"/>
          <w:color w:val="0D0D0D" w:themeColor="text1" w:themeTint="F2"/>
          <w:sz w:val="28"/>
          <w:szCs w:val="28"/>
          <w:highlight w:val="none"/>
          <w:lang w:val="en-US" w:eastAsia="zh-CN"/>
          <w14:textFill>
            <w14:solidFill>
              <w14:schemeClr w14:val="tx1">
                <w14:lumMod w14:val="95000"/>
                <w14:lumOff w14:val="5000"/>
              </w14:schemeClr>
            </w14:solidFill>
          </w14:textFill>
        </w:rPr>
        <w:t>氛围搭建：市集须布置有“2025紫蓬山民俗文化周”、“肥西文旅”等相关标志标识，并设置相关打卡点；山门广场须搭建“2025紫蓬山民俗文化周”龙门架。</w:t>
      </w:r>
    </w:p>
    <w:p w14:paraId="405CCEEB">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textAlignment w:val="auto"/>
        <w:rPr>
          <w:rFonts w:hint="default" w:ascii="仿宋_GB2312" w:hAnsi="仿宋_GB2312" w:eastAsia="仿宋_GB2312" w:cs="仿宋_GB2312"/>
          <w:b w:val="0"/>
          <w:bCs w:val="0"/>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b w:val="0"/>
          <w:bCs w:val="0"/>
          <w:color w:val="0D0D0D" w:themeColor="text1" w:themeTint="F2"/>
          <w:sz w:val="28"/>
          <w:szCs w:val="28"/>
          <w:highlight w:val="none"/>
          <w:lang w:val="en-US" w:eastAsia="zh-CN"/>
          <w14:textFill>
            <w14:solidFill>
              <w14:schemeClr w14:val="tx1">
                <w14:lumMod w14:val="95000"/>
                <w14:lumOff w14:val="5000"/>
              </w14:schemeClr>
            </w14:solidFill>
          </w14:textFill>
        </w:rPr>
        <w:t>市集商户：乙方须确保组织本地居民（紫蓬山附近居民优先）商户摊位数量不低于50个，所有摊位经营要求须保持一致，活动结束后提供组织商户清单，备注本地/外地商户。</w:t>
      </w:r>
    </w:p>
    <w:p w14:paraId="6B4E3C05">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b w:val="0"/>
          <w:bCs w:val="0"/>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b w:val="0"/>
          <w:bCs w:val="0"/>
          <w:color w:val="0D0D0D" w:themeColor="text1" w:themeTint="F2"/>
          <w:sz w:val="28"/>
          <w:szCs w:val="28"/>
          <w:highlight w:val="none"/>
          <w:lang w:val="en-US" w:eastAsia="zh-CN"/>
          <w14:textFill>
            <w14:solidFill>
              <w14:schemeClr w14:val="tx1">
                <w14:lumMod w14:val="95000"/>
                <w14:lumOff w14:val="5000"/>
              </w14:schemeClr>
            </w14:solidFill>
          </w14:textFill>
        </w:rPr>
        <w:t>品类要求：乙方组织经营业态要求如下：包括但不限于餐饮美食、快消零售、旅游文创、游乐活动等；不允许带宠物、禽类等活物摊位入驻（如套圈奖品等）；经营游乐设施等，乙方须确保其具备相关资质，资质证件提供给甲方备案；餐饮美食类商户必须提供健康证以及进货来源，保证加工过程合理规范；所有用电、煤气的活动区域, 其炉、灶、用具、设备等必须要符合相关标准；所有摊位品类必须做到明码标价；所有业态品类不能影响环境卫生。</w:t>
      </w:r>
    </w:p>
    <w:p w14:paraId="5FC77E87">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b w:val="0"/>
          <w:bCs w:val="0"/>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b w:val="0"/>
          <w:bCs w:val="0"/>
          <w:color w:val="0D0D0D" w:themeColor="text1" w:themeTint="F2"/>
          <w:sz w:val="28"/>
          <w:szCs w:val="28"/>
          <w:highlight w:val="none"/>
          <w:lang w:val="en-US" w:eastAsia="zh-CN"/>
          <w14:textFill>
            <w14:solidFill>
              <w14:schemeClr w14:val="tx1">
                <w14:lumMod w14:val="95000"/>
                <w14:lumOff w14:val="5000"/>
              </w14:schemeClr>
            </w14:solidFill>
          </w14:textFill>
        </w:rPr>
        <w:t>水电保障：乙方自行解决因经营所需电压负荷问题，及时缴纳用水用电费用。</w:t>
      </w:r>
    </w:p>
    <w:p w14:paraId="1D937B54">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b w:val="0"/>
          <w:bCs w:val="0"/>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b w:val="0"/>
          <w:bCs w:val="0"/>
          <w:color w:val="0D0D0D" w:themeColor="text1" w:themeTint="F2"/>
          <w:sz w:val="28"/>
          <w:szCs w:val="28"/>
          <w:highlight w:val="none"/>
          <w:lang w:val="en-US" w:eastAsia="zh-CN"/>
          <w14:textFill>
            <w14:solidFill>
              <w14:schemeClr w14:val="tx1">
                <w14:lumMod w14:val="95000"/>
                <w14:lumOff w14:val="5000"/>
              </w14:schemeClr>
            </w14:solidFill>
          </w14:textFill>
        </w:rPr>
        <w:t>后勤保障：乙方需要在市集附近场地提供不低于10组临时公厕，每天及时清理，确保正常使用；活动现场配备灭火器不低于30个，现场配备大垃圾桶不低于50个，每天及时清理，确保正常使用；保洁人员不低于10人，确保全天候流动清理、清运现场垃圾；秩序维护人员不低于10人，确保全天候市集现场秩序平稳。</w:t>
      </w:r>
    </w:p>
    <w:p w14:paraId="565F7050">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b w:val="0"/>
          <w:bCs w:val="0"/>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b w:val="0"/>
          <w:bCs w:val="0"/>
          <w:color w:val="0D0D0D" w:themeColor="text1" w:themeTint="F2"/>
          <w:sz w:val="28"/>
          <w:szCs w:val="28"/>
          <w:highlight w:val="none"/>
          <w:lang w:val="en-US" w:eastAsia="zh-CN"/>
          <w14:textFill>
            <w14:solidFill>
              <w14:schemeClr w14:val="tx1">
                <w14:lumMod w14:val="95000"/>
                <w14:lumOff w14:val="5000"/>
              </w14:schemeClr>
            </w14:solidFill>
          </w14:textFill>
        </w:rPr>
        <w:t>甲方自营及推介展位：乙方须在紫蓬山山门设置10个免费展位，用作甲方自营产品及肥西县文旅推介业态展位。</w:t>
      </w:r>
    </w:p>
    <w:p w14:paraId="11B13D9A">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textAlignment w:val="auto"/>
        <w:rPr>
          <w:rFonts w:hint="default" w:ascii="仿宋_GB2312" w:hAnsi="仿宋_GB2312" w:eastAsia="仿宋_GB2312" w:cs="仿宋_GB2312"/>
          <w:b w:val="0"/>
          <w:bCs w:val="0"/>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b w:val="0"/>
          <w:bCs w:val="0"/>
          <w:color w:val="0D0D0D" w:themeColor="text1" w:themeTint="F2"/>
          <w:sz w:val="28"/>
          <w:szCs w:val="28"/>
          <w:highlight w:val="none"/>
          <w:lang w:val="en-US" w:eastAsia="zh-CN"/>
          <w14:textFill>
            <w14:solidFill>
              <w14:schemeClr w14:val="tx1">
                <w14:lumMod w14:val="95000"/>
                <w14:lumOff w14:val="5000"/>
              </w14:schemeClr>
            </w14:solidFill>
          </w14:textFill>
        </w:rPr>
        <w:t>活动报备：乙方活动策划方案、市集活动执行等须按有关要求报备报批，经允许方可执行。</w:t>
      </w:r>
    </w:p>
    <w:p w14:paraId="279D4994">
      <w:pPr>
        <w:keepNext w:val="0"/>
        <w:keepLines w:val="0"/>
        <w:pageBreakBefore w:val="0"/>
        <w:widowControl/>
        <w:kinsoku/>
        <w:wordWrap/>
        <w:overflowPunct/>
        <w:topLinePunct w:val="0"/>
        <w:autoSpaceDE/>
        <w:autoSpaceDN/>
        <w:bidi w:val="0"/>
        <w:adjustRightInd/>
        <w:snapToGrid/>
        <w:spacing w:before="100" w:beforeAutospacing="1" w:after="100" w:afterAutospacing="1" w:line="440" w:lineRule="exact"/>
        <w:jc w:val="center"/>
        <w:textAlignment w:val="auto"/>
        <w:rPr>
          <w:rFonts w:hint="eastAsia" w:ascii="黑体" w:hAnsi="黑体" w:eastAsia="黑体" w:cs="黑体"/>
          <w:color w:val="0D0D0D" w:themeColor="text1" w:themeTint="F2"/>
          <w:kern w:val="0"/>
          <w:sz w:val="28"/>
          <w:szCs w:val="28"/>
          <w:highlight w:val="none"/>
          <w14:textFill>
            <w14:solidFill>
              <w14:schemeClr w14:val="tx1">
                <w14:lumMod w14:val="95000"/>
                <w14:lumOff w14:val="5000"/>
              </w14:schemeClr>
            </w14:solidFill>
          </w14:textFill>
        </w:rPr>
      </w:pPr>
      <w:r>
        <w:rPr>
          <w:rFonts w:hint="eastAsia" w:ascii="黑体" w:hAnsi="黑体" w:eastAsia="黑体" w:cs="黑体"/>
          <w:color w:val="0D0D0D" w:themeColor="text1" w:themeTint="F2"/>
          <w:kern w:val="0"/>
          <w:sz w:val="28"/>
          <w:szCs w:val="28"/>
          <w:highlight w:val="none"/>
          <w14:textFill>
            <w14:solidFill>
              <w14:schemeClr w14:val="tx1">
                <w14:lumMod w14:val="95000"/>
                <w14:lumOff w14:val="5000"/>
              </w14:schemeClr>
            </w14:solidFill>
          </w14:textFill>
        </w:rPr>
        <w:t>第五条 甲方责任与义务</w:t>
      </w:r>
    </w:p>
    <w:p w14:paraId="62003F6F">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 xml:space="preserve">1. 提供场地：甲方应为乙方提供符合要求的经营场地，并确保市集的基本设施正常使用。甲方有权按合同规定向乙方收取水费、电费。   </w:t>
      </w:r>
    </w:p>
    <w:p w14:paraId="764194EA">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2. 协调管理：甲方负责市集的整体协调和管理，及时协助处理乙方在经营过程中遇到的问题。</w:t>
      </w:r>
      <w:bookmarkStart w:id="0" w:name="_GoBack"/>
      <w:bookmarkEnd w:id="0"/>
    </w:p>
    <w:p w14:paraId="32DC3435">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3. 监督管理：甲方有权对乙方使用场地的情况进行监督，但不得干扰或妨碍乙方正常、合理的使用。如乙方违反合同义务或甲方规定、管理要求等相关规定，乙方须服从甲方的管理调整。若甲方开展营销活动，需要对乙方推位进行调整的，乙方需予以配合。</w:t>
      </w:r>
    </w:p>
    <w:p w14:paraId="59F6182F">
      <w:pPr>
        <w:keepNext w:val="0"/>
        <w:keepLines w:val="0"/>
        <w:pageBreakBefore w:val="0"/>
        <w:widowControl/>
        <w:kinsoku/>
        <w:wordWrap/>
        <w:overflowPunct/>
        <w:topLinePunct w:val="0"/>
        <w:autoSpaceDE/>
        <w:autoSpaceDN/>
        <w:bidi w:val="0"/>
        <w:adjustRightInd/>
        <w:snapToGrid/>
        <w:spacing w:before="100" w:beforeAutospacing="1" w:after="100" w:afterAutospacing="1" w:line="440" w:lineRule="exact"/>
        <w:jc w:val="center"/>
        <w:textAlignment w:val="auto"/>
        <w:rPr>
          <w:rFonts w:hint="eastAsia" w:ascii="黑体" w:hAnsi="黑体" w:eastAsia="黑体" w:cs="黑体"/>
          <w:color w:val="0D0D0D" w:themeColor="text1" w:themeTint="F2"/>
          <w:kern w:val="0"/>
          <w:sz w:val="28"/>
          <w:szCs w:val="28"/>
          <w:highlight w:val="none"/>
          <w14:textFill>
            <w14:solidFill>
              <w14:schemeClr w14:val="tx1">
                <w14:lumMod w14:val="95000"/>
                <w14:lumOff w14:val="5000"/>
              </w14:schemeClr>
            </w14:solidFill>
          </w14:textFill>
        </w:rPr>
      </w:pPr>
      <w:r>
        <w:rPr>
          <w:rFonts w:hint="eastAsia" w:ascii="黑体" w:hAnsi="黑体" w:eastAsia="黑体" w:cs="黑体"/>
          <w:color w:val="0D0D0D" w:themeColor="text1" w:themeTint="F2"/>
          <w:kern w:val="0"/>
          <w:sz w:val="28"/>
          <w:szCs w:val="28"/>
          <w:highlight w:val="none"/>
          <w14:textFill>
            <w14:solidFill>
              <w14:schemeClr w14:val="tx1">
                <w14:lumMod w14:val="95000"/>
                <w14:lumOff w14:val="5000"/>
              </w14:schemeClr>
            </w14:solidFill>
          </w14:textFill>
        </w:rPr>
        <w:t>第</w:t>
      </w:r>
      <w:r>
        <w:rPr>
          <w:rFonts w:hint="eastAsia" w:ascii="黑体" w:hAnsi="黑体" w:eastAsia="黑体" w:cs="黑体"/>
          <w:color w:val="0D0D0D" w:themeColor="text1" w:themeTint="F2"/>
          <w:kern w:val="0"/>
          <w:sz w:val="28"/>
          <w:szCs w:val="28"/>
          <w:highlight w:val="none"/>
          <w:lang w:val="en-US" w:eastAsia="zh-CN"/>
          <w14:textFill>
            <w14:solidFill>
              <w14:schemeClr w14:val="tx1">
                <w14:lumMod w14:val="95000"/>
                <w14:lumOff w14:val="5000"/>
              </w14:schemeClr>
            </w14:solidFill>
          </w14:textFill>
        </w:rPr>
        <w:t>六</w:t>
      </w:r>
      <w:r>
        <w:rPr>
          <w:rFonts w:hint="eastAsia" w:ascii="黑体" w:hAnsi="黑体" w:eastAsia="黑体" w:cs="黑体"/>
          <w:color w:val="0D0D0D" w:themeColor="text1" w:themeTint="F2"/>
          <w:kern w:val="0"/>
          <w:sz w:val="28"/>
          <w:szCs w:val="28"/>
          <w:highlight w:val="none"/>
          <w14:textFill>
            <w14:solidFill>
              <w14:schemeClr w14:val="tx1">
                <w14:lumMod w14:val="95000"/>
                <w14:lumOff w14:val="5000"/>
              </w14:schemeClr>
            </w14:solidFill>
          </w14:textFill>
        </w:rPr>
        <w:t>条 乙方责任与义务</w:t>
      </w:r>
    </w:p>
    <w:p w14:paraId="744A1CD6">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 xml:space="preserve">1. 合法经营：乙方应直接负责经营，并确保其经营内容合法合规，不得销售假冒伪劣产品、三无产品、临期或有害商品、违禁物品等。  </w:t>
      </w:r>
    </w:p>
    <w:p w14:paraId="63B6180C">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 xml:space="preserve">2. 摊位布置：乙方应按照甲方管理及确定的方案要求布置摊位，保持摊位整洁美观，不得擅自更改摊位结构或占用公共区域。  </w:t>
      </w:r>
    </w:p>
    <w:p w14:paraId="71F00D7E">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3. 安全保障：乙方应负责其摊位内的安全，确保用电、用火等符合安全规范，避免发生安全事故。乙方自营以及对外出租摊位经营人员的人身、财产安全由乙方负责（购买保险）；经营期间，乙方应保障现场安全与秩序，如活动现场出现安全事故或纠纷，乙方须负责处理，并承担相关责任。</w:t>
      </w:r>
    </w:p>
    <w:p w14:paraId="337248E1">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 xml:space="preserve">4. 环境卫生：乙方负责保持场地及周围公共区域的环境卫生，及时清理、清运垃圾，不得随意丢弃废弃物。  </w:t>
      </w:r>
    </w:p>
    <w:p w14:paraId="55C91F61">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5. 遵守规定：乙方应遵守甲方的管理要求，服从甲方的统一安排。须按甲方要求设置统一规格摊位，保证市集出摊形象。</w:t>
      </w:r>
    </w:p>
    <w:p w14:paraId="25539690">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6. 品类业态：合同期间，乙方仅将该场地作为民俗文化活动(庙会)市集使用，不得擅自改变该场地用途。乙方需按甲方业态规划要求进行市集品类出摊；乙方若需对场地用途及业态进行调整时，必须征得甲方书面同意。</w:t>
      </w:r>
    </w:p>
    <w:p w14:paraId="5919A40A">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7. 资产管理：乙方须负责使用区域内设备资产等的管理，若发生丢失损毁，甲方不承担任何责任。</w:t>
      </w:r>
    </w:p>
    <w:p w14:paraId="4F5A910F">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8. 活动结束后乙方须及时将活动场地恢复如初并交还甲方。乙方违反合同约定，甲方可解除合同，并全额扣除乙方缴纳的活动保证金。</w:t>
      </w:r>
    </w:p>
    <w:p w14:paraId="62F739A5">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9. 除经双方协商一致，合同存续期间内，乙方不可中途退场或私自转让运营权；如中途退场或未按约定摆场，甲方可解除协议，并全额扣除乙方缴纳的活动保证金。</w:t>
      </w:r>
    </w:p>
    <w:p w14:paraId="68FBA853">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10. 在舞台、氛围搭建及合同期间场地内的安全、保卫、消防、防水、卫生、综合治理工作由乙方自行负责，并承担其全部责任和费用；若因乙方经营管理不当产生纠纷导致甲方承担责任的，甲方有权向乙方进行追偿。</w:t>
      </w:r>
    </w:p>
    <w:p w14:paraId="3EF602A6">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11. 乙方为履行本合同所涉及的所有设计、文字、图像、道具、画面、肖像、标识等，均已取得相关权利许可，乙方对其合法性负责，不侵犯第三方合法权益，如因此产生第三方指控侵权或主张权利等任何纠纷，由乙方承担全部责任并赔偿因此给甲方造成的全部损失（包括但不限于赔偿金、律师费、诉讼费等）。</w:t>
      </w:r>
    </w:p>
    <w:p w14:paraId="043E9803">
      <w:pPr>
        <w:keepNext w:val="0"/>
        <w:keepLines w:val="0"/>
        <w:pageBreakBefore w:val="0"/>
        <w:widowControl/>
        <w:kinsoku/>
        <w:wordWrap/>
        <w:overflowPunct/>
        <w:topLinePunct w:val="0"/>
        <w:autoSpaceDE/>
        <w:autoSpaceDN/>
        <w:bidi w:val="0"/>
        <w:adjustRightInd/>
        <w:snapToGrid/>
        <w:spacing w:before="100" w:beforeAutospacing="1" w:after="100" w:afterAutospacing="1" w:line="440" w:lineRule="exact"/>
        <w:jc w:val="center"/>
        <w:textAlignment w:val="auto"/>
        <w:rPr>
          <w:rFonts w:hint="eastAsia" w:ascii="黑体" w:hAnsi="黑体" w:eastAsia="黑体" w:cs="黑体"/>
          <w:color w:val="0D0D0D" w:themeColor="text1" w:themeTint="F2"/>
          <w:kern w:val="0"/>
          <w:sz w:val="28"/>
          <w:szCs w:val="28"/>
          <w:highlight w:val="none"/>
          <w14:textFill>
            <w14:solidFill>
              <w14:schemeClr w14:val="tx1">
                <w14:lumMod w14:val="95000"/>
                <w14:lumOff w14:val="5000"/>
              </w14:schemeClr>
            </w14:solidFill>
          </w14:textFill>
        </w:rPr>
      </w:pPr>
      <w:r>
        <w:rPr>
          <w:rFonts w:hint="eastAsia" w:ascii="黑体" w:hAnsi="黑体" w:eastAsia="黑体" w:cs="黑体"/>
          <w:color w:val="0D0D0D" w:themeColor="text1" w:themeTint="F2"/>
          <w:kern w:val="0"/>
          <w:sz w:val="28"/>
          <w:szCs w:val="28"/>
          <w:highlight w:val="none"/>
          <w14:textFill>
            <w14:solidFill>
              <w14:schemeClr w14:val="tx1">
                <w14:lumMod w14:val="95000"/>
                <w14:lumOff w14:val="5000"/>
              </w14:schemeClr>
            </w14:solidFill>
          </w14:textFill>
        </w:rPr>
        <w:t>第</w:t>
      </w:r>
      <w:r>
        <w:rPr>
          <w:rFonts w:hint="eastAsia" w:ascii="黑体" w:hAnsi="黑体" w:eastAsia="黑体" w:cs="黑体"/>
          <w:color w:val="0D0D0D" w:themeColor="text1" w:themeTint="F2"/>
          <w:kern w:val="0"/>
          <w:sz w:val="28"/>
          <w:szCs w:val="28"/>
          <w:highlight w:val="none"/>
          <w:lang w:val="en-US" w:eastAsia="zh-CN"/>
          <w14:textFill>
            <w14:solidFill>
              <w14:schemeClr w14:val="tx1">
                <w14:lumMod w14:val="95000"/>
                <w14:lumOff w14:val="5000"/>
              </w14:schemeClr>
            </w14:solidFill>
          </w14:textFill>
        </w:rPr>
        <w:t>七</w:t>
      </w:r>
      <w:r>
        <w:rPr>
          <w:rFonts w:hint="eastAsia" w:ascii="黑体" w:hAnsi="黑体" w:eastAsia="黑体" w:cs="黑体"/>
          <w:color w:val="0D0D0D" w:themeColor="text1" w:themeTint="F2"/>
          <w:kern w:val="0"/>
          <w:sz w:val="28"/>
          <w:szCs w:val="28"/>
          <w:highlight w:val="none"/>
          <w14:textFill>
            <w14:solidFill>
              <w14:schemeClr w14:val="tx1">
                <w14:lumMod w14:val="95000"/>
                <w14:lumOff w14:val="5000"/>
              </w14:schemeClr>
            </w14:solidFill>
          </w14:textFill>
        </w:rPr>
        <w:t>条 违约责任</w:t>
      </w:r>
    </w:p>
    <w:p w14:paraId="11FAC924">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1. 乙方违约：若乙方未按合同约定支付相关费用、擅自变更经营内容、违反甲方管理要求等，甲方有权解除合同，收回经营权，且不退还合同场地费，并全额扣除乙方缴纳的活动保证金。</w:t>
      </w:r>
    </w:p>
    <w:p w14:paraId="41352B51">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2.乙方有下列行为之一的，甲方有权解除合同，并全额扣除乙方缴纳的活动保证金：</w:t>
      </w:r>
    </w:p>
    <w:p w14:paraId="00F1C642">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（1）利用该场地进行非法活动的。</w:t>
      </w:r>
    </w:p>
    <w:p w14:paraId="30BFF05B">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（2）未按约定摆场经营，或经营产品不满足国家等标准要求的。</w:t>
      </w:r>
    </w:p>
    <w:p w14:paraId="06BB4E61">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（3）擅自将该场地转租他人的。</w:t>
      </w:r>
    </w:p>
    <w:p w14:paraId="121A7E14">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（4）考核不达标【如摊位商户临时撤离、业态规划不符合合同要求、未满足合同中甲方要求等】 。</w:t>
      </w:r>
    </w:p>
    <w:p w14:paraId="3C3B8CF0">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3. 若因乙方违约，甲方全额扣除乙方缴纳的活动保证金或向乙方追索违约金或其它费用时，乙方除继续支付违约金、承担违约责任外，还须赔偿甲方因追索而实际发生的律师代理费、诉讼费、保全费、保全担保费、调查费用等所有费用损失。</w:t>
      </w:r>
    </w:p>
    <w:p w14:paraId="5B0AFCBC">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0D0D0D" w:themeColor="text1" w:themeTint="F2"/>
          <w:highlight w:val="none"/>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4. 甲方违约：若甲方未按合同约定提供场地或设施，导致乙方无法正常经营，乙方有权要求甲方退还场地运营费、活动保证金或赔偿相应损失。</w:t>
      </w:r>
    </w:p>
    <w:p w14:paraId="53DBAFAE">
      <w:pPr>
        <w:keepNext w:val="0"/>
        <w:keepLines w:val="0"/>
        <w:pageBreakBefore w:val="0"/>
        <w:widowControl/>
        <w:kinsoku/>
        <w:wordWrap/>
        <w:overflowPunct/>
        <w:topLinePunct w:val="0"/>
        <w:autoSpaceDE/>
        <w:autoSpaceDN/>
        <w:bidi w:val="0"/>
        <w:adjustRightInd/>
        <w:snapToGrid/>
        <w:spacing w:before="100" w:beforeAutospacing="1" w:after="100" w:afterAutospacing="1" w:line="440" w:lineRule="exact"/>
        <w:jc w:val="center"/>
        <w:textAlignment w:val="auto"/>
        <w:rPr>
          <w:rFonts w:hint="eastAsia" w:ascii="黑体" w:hAnsi="黑体" w:eastAsia="黑体" w:cs="黑体"/>
          <w:color w:val="0D0D0D" w:themeColor="text1" w:themeTint="F2"/>
          <w:kern w:val="0"/>
          <w:sz w:val="28"/>
          <w:szCs w:val="28"/>
          <w:highlight w:val="none"/>
          <w14:textFill>
            <w14:solidFill>
              <w14:schemeClr w14:val="tx1">
                <w14:lumMod w14:val="95000"/>
                <w14:lumOff w14:val="5000"/>
              </w14:schemeClr>
            </w14:solidFill>
          </w14:textFill>
        </w:rPr>
      </w:pPr>
      <w:r>
        <w:rPr>
          <w:rFonts w:hint="eastAsia" w:ascii="黑体" w:hAnsi="黑体" w:eastAsia="黑体" w:cs="黑体"/>
          <w:color w:val="0D0D0D" w:themeColor="text1" w:themeTint="F2"/>
          <w:kern w:val="0"/>
          <w:sz w:val="28"/>
          <w:szCs w:val="28"/>
          <w:highlight w:val="none"/>
          <w14:textFill>
            <w14:solidFill>
              <w14:schemeClr w14:val="tx1">
                <w14:lumMod w14:val="95000"/>
                <w14:lumOff w14:val="5000"/>
              </w14:schemeClr>
            </w14:solidFill>
          </w14:textFill>
        </w:rPr>
        <w:t>第</w:t>
      </w:r>
      <w:r>
        <w:rPr>
          <w:rFonts w:hint="eastAsia" w:ascii="黑体" w:hAnsi="黑体" w:eastAsia="黑体" w:cs="黑体"/>
          <w:color w:val="0D0D0D" w:themeColor="text1" w:themeTint="F2"/>
          <w:kern w:val="0"/>
          <w:sz w:val="28"/>
          <w:szCs w:val="28"/>
          <w:highlight w:val="none"/>
          <w:lang w:val="en-US" w:eastAsia="zh-CN"/>
          <w14:textFill>
            <w14:solidFill>
              <w14:schemeClr w14:val="tx1">
                <w14:lumMod w14:val="95000"/>
                <w14:lumOff w14:val="5000"/>
              </w14:schemeClr>
            </w14:solidFill>
          </w14:textFill>
        </w:rPr>
        <w:t>八</w:t>
      </w:r>
      <w:r>
        <w:rPr>
          <w:rFonts w:hint="eastAsia" w:ascii="黑体" w:hAnsi="黑体" w:eastAsia="黑体" w:cs="黑体"/>
          <w:color w:val="0D0D0D" w:themeColor="text1" w:themeTint="F2"/>
          <w:kern w:val="0"/>
          <w:sz w:val="28"/>
          <w:szCs w:val="28"/>
          <w:highlight w:val="none"/>
          <w14:textFill>
            <w14:solidFill>
              <w14:schemeClr w14:val="tx1">
                <w14:lumMod w14:val="95000"/>
                <w14:lumOff w14:val="5000"/>
              </w14:schemeClr>
            </w14:solidFill>
          </w14:textFill>
        </w:rPr>
        <w:t>条 不可抗力</w:t>
      </w:r>
    </w:p>
    <w:p w14:paraId="5C873219">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 xml:space="preserve">1. 如因不可抗力（如自然灾害、政府政策等）导致活动无法如期举行时，乙方应立即书面告知甲方，经甲方同意，本合同可自然终止，双方互不承担违约责任，甲方应退还乙方已支付的场地运营费及活动保证金。  </w:t>
      </w:r>
    </w:p>
    <w:p w14:paraId="3DA15A8C">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0D0D0D" w:themeColor="text1" w:themeTint="F2"/>
          <w:highlight w:val="none"/>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2. 若活动延期，双方可协商继续履行合同或解除合同。</w:t>
      </w:r>
    </w:p>
    <w:p w14:paraId="2B5176FD">
      <w:pPr>
        <w:keepNext w:val="0"/>
        <w:keepLines w:val="0"/>
        <w:pageBreakBefore w:val="0"/>
        <w:widowControl/>
        <w:kinsoku/>
        <w:wordWrap/>
        <w:overflowPunct/>
        <w:topLinePunct w:val="0"/>
        <w:autoSpaceDE/>
        <w:autoSpaceDN/>
        <w:bidi w:val="0"/>
        <w:adjustRightInd/>
        <w:snapToGrid/>
        <w:spacing w:before="100" w:beforeAutospacing="1" w:after="100" w:afterAutospacing="1" w:line="440" w:lineRule="exact"/>
        <w:jc w:val="center"/>
        <w:textAlignment w:val="auto"/>
        <w:rPr>
          <w:rFonts w:hint="eastAsia" w:ascii="黑体" w:hAnsi="黑体" w:eastAsia="黑体" w:cs="黑体"/>
          <w:color w:val="0D0D0D" w:themeColor="text1" w:themeTint="F2"/>
          <w:kern w:val="0"/>
          <w:sz w:val="28"/>
          <w:szCs w:val="28"/>
          <w:highlight w:val="none"/>
          <w14:textFill>
            <w14:solidFill>
              <w14:schemeClr w14:val="tx1">
                <w14:lumMod w14:val="95000"/>
                <w14:lumOff w14:val="5000"/>
              </w14:schemeClr>
            </w14:solidFill>
          </w14:textFill>
        </w:rPr>
      </w:pPr>
      <w:r>
        <w:rPr>
          <w:rFonts w:hint="eastAsia" w:ascii="黑体" w:hAnsi="黑体" w:eastAsia="黑体" w:cs="黑体"/>
          <w:color w:val="0D0D0D" w:themeColor="text1" w:themeTint="F2"/>
          <w:kern w:val="0"/>
          <w:sz w:val="28"/>
          <w:szCs w:val="28"/>
          <w:highlight w:val="none"/>
          <w14:textFill>
            <w14:solidFill>
              <w14:schemeClr w14:val="tx1">
                <w14:lumMod w14:val="95000"/>
                <w14:lumOff w14:val="5000"/>
              </w14:schemeClr>
            </w14:solidFill>
          </w14:textFill>
        </w:rPr>
        <w:t>第</w:t>
      </w:r>
      <w:r>
        <w:rPr>
          <w:rFonts w:hint="eastAsia" w:ascii="黑体" w:hAnsi="黑体" w:eastAsia="黑体" w:cs="黑体"/>
          <w:color w:val="0D0D0D" w:themeColor="text1" w:themeTint="F2"/>
          <w:kern w:val="0"/>
          <w:sz w:val="28"/>
          <w:szCs w:val="28"/>
          <w:highlight w:val="none"/>
          <w:lang w:val="en-US" w:eastAsia="zh-CN"/>
          <w14:textFill>
            <w14:solidFill>
              <w14:schemeClr w14:val="tx1">
                <w14:lumMod w14:val="95000"/>
                <w14:lumOff w14:val="5000"/>
              </w14:schemeClr>
            </w14:solidFill>
          </w14:textFill>
        </w:rPr>
        <w:t>九</w:t>
      </w:r>
      <w:r>
        <w:rPr>
          <w:rFonts w:hint="eastAsia" w:ascii="黑体" w:hAnsi="黑体" w:eastAsia="黑体" w:cs="黑体"/>
          <w:color w:val="0D0D0D" w:themeColor="text1" w:themeTint="F2"/>
          <w:kern w:val="0"/>
          <w:sz w:val="28"/>
          <w:szCs w:val="28"/>
          <w:highlight w:val="none"/>
          <w14:textFill>
            <w14:solidFill>
              <w14:schemeClr w14:val="tx1">
                <w14:lumMod w14:val="95000"/>
                <w14:lumOff w14:val="5000"/>
              </w14:schemeClr>
            </w14:solidFill>
          </w14:textFill>
        </w:rPr>
        <w:t>条 争议解决</w:t>
      </w:r>
    </w:p>
    <w:p w14:paraId="6B8C52F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 xml:space="preserve">1. 本合同履行过程中如发生争议，双方应友好协商解决。  </w:t>
      </w:r>
    </w:p>
    <w:p w14:paraId="1CF619E2">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0D0D0D" w:themeColor="text1" w:themeTint="F2"/>
          <w:highlight w:val="none"/>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2. 若协商不成，任何一方均可向甲方所在地人民法院提起诉讼。</w:t>
      </w:r>
    </w:p>
    <w:p w14:paraId="45F3D340">
      <w:pPr>
        <w:keepNext w:val="0"/>
        <w:keepLines w:val="0"/>
        <w:pageBreakBefore w:val="0"/>
        <w:widowControl/>
        <w:kinsoku/>
        <w:wordWrap/>
        <w:overflowPunct/>
        <w:topLinePunct w:val="0"/>
        <w:autoSpaceDE/>
        <w:autoSpaceDN/>
        <w:bidi w:val="0"/>
        <w:adjustRightInd/>
        <w:snapToGrid/>
        <w:spacing w:before="100" w:beforeAutospacing="1" w:after="100" w:afterAutospacing="1" w:line="440" w:lineRule="exact"/>
        <w:jc w:val="center"/>
        <w:textAlignment w:val="auto"/>
        <w:rPr>
          <w:rFonts w:hint="eastAsia" w:ascii="黑体" w:hAnsi="黑体" w:eastAsia="黑体" w:cs="黑体"/>
          <w:color w:val="0D0D0D" w:themeColor="text1" w:themeTint="F2"/>
          <w:kern w:val="0"/>
          <w:sz w:val="28"/>
          <w:szCs w:val="28"/>
          <w:highlight w:val="none"/>
          <w14:textFill>
            <w14:solidFill>
              <w14:schemeClr w14:val="tx1">
                <w14:lumMod w14:val="95000"/>
                <w14:lumOff w14:val="5000"/>
              </w14:schemeClr>
            </w14:solidFill>
          </w14:textFill>
        </w:rPr>
      </w:pPr>
      <w:r>
        <w:rPr>
          <w:rFonts w:hint="eastAsia" w:ascii="黑体" w:hAnsi="黑体" w:eastAsia="黑体" w:cs="黑体"/>
          <w:color w:val="0D0D0D" w:themeColor="text1" w:themeTint="F2"/>
          <w:kern w:val="0"/>
          <w:sz w:val="28"/>
          <w:szCs w:val="28"/>
          <w:highlight w:val="none"/>
          <w14:textFill>
            <w14:solidFill>
              <w14:schemeClr w14:val="tx1">
                <w14:lumMod w14:val="95000"/>
                <w14:lumOff w14:val="5000"/>
              </w14:schemeClr>
            </w14:solidFill>
          </w14:textFill>
        </w:rPr>
        <w:t>第</w:t>
      </w:r>
      <w:r>
        <w:rPr>
          <w:rFonts w:hint="eastAsia" w:ascii="黑体" w:hAnsi="黑体" w:eastAsia="黑体" w:cs="黑体"/>
          <w:color w:val="0D0D0D" w:themeColor="text1" w:themeTint="F2"/>
          <w:kern w:val="0"/>
          <w:sz w:val="28"/>
          <w:szCs w:val="28"/>
          <w:highlight w:val="none"/>
          <w:lang w:val="en-US" w:eastAsia="zh-CN"/>
          <w14:textFill>
            <w14:solidFill>
              <w14:schemeClr w14:val="tx1">
                <w14:lumMod w14:val="95000"/>
                <w14:lumOff w14:val="5000"/>
              </w14:schemeClr>
            </w14:solidFill>
          </w14:textFill>
        </w:rPr>
        <w:t>十</w:t>
      </w:r>
      <w:r>
        <w:rPr>
          <w:rFonts w:hint="eastAsia" w:ascii="黑体" w:hAnsi="黑体" w:eastAsia="黑体" w:cs="黑体"/>
          <w:color w:val="0D0D0D" w:themeColor="text1" w:themeTint="F2"/>
          <w:kern w:val="0"/>
          <w:sz w:val="28"/>
          <w:szCs w:val="28"/>
          <w:highlight w:val="none"/>
          <w14:textFill>
            <w14:solidFill>
              <w14:schemeClr w14:val="tx1">
                <w14:lumMod w14:val="95000"/>
                <w14:lumOff w14:val="5000"/>
              </w14:schemeClr>
            </w14:solidFill>
          </w14:textFill>
        </w:rPr>
        <w:t>条 合同生效及其他</w:t>
      </w:r>
    </w:p>
    <w:p w14:paraId="4913BDA6">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 xml:space="preserve">1. 本合同自双方签字盖章之日起生效。  </w:t>
      </w:r>
    </w:p>
    <w:p w14:paraId="22326E73">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 xml:space="preserve">2. 本合同一式陆份，甲乙双方各执叁份，具有同等法律效力。  </w:t>
      </w:r>
    </w:p>
    <w:p w14:paraId="3466F00B">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0D0D0D" w:themeColor="text1" w:themeTint="F2"/>
          <w:highlight w:val="none"/>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28"/>
          <w:szCs w:val="28"/>
          <w:highlight w:val="none"/>
          <w:lang w:val="en-US" w:eastAsia="zh-CN"/>
          <w14:textFill>
            <w14:solidFill>
              <w14:schemeClr w14:val="tx1">
                <w14:lumMod w14:val="95000"/>
                <w14:lumOff w14:val="5000"/>
              </w14:schemeClr>
            </w14:solidFill>
          </w14:textFill>
        </w:rPr>
        <w:t>3. 未尽事宜，双方可另行协商并签订补充协议，补充协议与本合同具有同等法律效力。</w:t>
      </w:r>
    </w:p>
    <w:p w14:paraId="73A2FCED">
      <w:pPr>
        <w:keepNext w:val="0"/>
        <w:keepLines w:val="0"/>
        <w:pageBreakBefore w:val="0"/>
        <w:kinsoku/>
        <w:wordWrap/>
        <w:overflowPunct/>
        <w:topLinePunct w:val="0"/>
        <w:autoSpaceDE/>
        <w:autoSpaceDN/>
        <w:bidi w:val="0"/>
        <w:adjustRightInd/>
        <w:snapToGrid/>
        <w:spacing w:line="440" w:lineRule="exact"/>
        <w:textAlignment w:val="auto"/>
        <w:rPr>
          <w:rFonts w:hint="eastAsia"/>
          <w:color w:val="0D0D0D" w:themeColor="text1" w:themeTint="F2"/>
          <w:highlight w:val="none"/>
          <w14:textFill>
            <w14:solidFill>
              <w14:schemeClr w14:val="tx1">
                <w14:lumMod w14:val="95000"/>
                <w14:lumOff w14:val="5000"/>
              </w14:schemeClr>
            </w14:solidFill>
          </w14:textFill>
        </w:rPr>
      </w:pPr>
    </w:p>
    <w:p w14:paraId="7B1DE744">
      <w:pPr>
        <w:spacing w:line="360" w:lineRule="auto"/>
        <w:ind w:firstLine="240" w:firstLineChars="100"/>
        <w:rPr>
          <w:rFonts w:hint="eastAsia" w:ascii="黑体" w:hAnsi="黑体" w:eastAsia="黑体" w:cs="黑体"/>
          <w:sz w:val="24"/>
          <w:highlight w:val="none"/>
        </w:rPr>
      </w:pPr>
      <w:r>
        <w:rPr>
          <w:rFonts w:hint="eastAsia" w:ascii="黑体" w:hAnsi="黑体" w:eastAsia="黑体" w:cs="黑体"/>
          <w:sz w:val="24"/>
          <w:highlight w:val="none"/>
        </w:rPr>
        <w:t xml:space="preserve">甲方：                                      乙方：                    </w:t>
      </w:r>
    </w:p>
    <w:p w14:paraId="52D2FA3B">
      <w:pPr>
        <w:spacing w:line="360" w:lineRule="auto"/>
        <w:rPr>
          <w:rFonts w:hint="eastAsia" w:ascii="黑体" w:hAnsi="黑体" w:eastAsia="黑体" w:cs="黑体"/>
          <w:sz w:val="24"/>
          <w:highlight w:val="none"/>
        </w:rPr>
      </w:pPr>
      <w:r>
        <w:rPr>
          <w:rFonts w:hint="eastAsia" w:ascii="黑体" w:hAnsi="黑体" w:eastAsia="黑体" w:cs="黑体"/>
          <w:sz w:val="24"/>
          <w:highlight w:val="none"/>
        </w:rPr>
        <w:t xml:space="preserve">（盖章）                                     （盖章） </w:t>
      </w:r>
    </w:p>
    <w:p w14:paraId="3E471515">
      <w:pPr>
        <w:spacing w:line="360" w:lineRule="auto"/>
        <w:rPr>
          <w:rFonts w:hint="eastAsia" w:ascii="黑体" w:hAnsi="黑体" w:eastAsia="黑体" w:cs="黑体"/>
          <w:sz w:val="24"/>
          <w:highlight w:val="none"/>
        </w:rPr>
      </w:pPr>
      <w:r>
        <w:rPr>
          <w:rFonts w:hint="eastAsia" w:ascii="黑体" w:hAnsi="黑体" w:eastAsia="黑体" w:cs="黑体"/>
          <w:sz w:val="24"/>
          <w:highlight w:val="none"/>
        </w:rPr>
        <w:t xml:space="preserve"> 法定代表人或经办人：                         法定代表人或经办人：                                </w:t>
      </w:r>
    </w:p>
    <w:p w14:paraId="5C0E0206">
      <w:pPr>
        <w:spacing w:line="360" w:lineRule="auto"/>
        <w:ind w:left="436" w:leftChars="113" w:hanging="199" w:hangingChars="83"/>
        <w:rPr>
          <w:color w:val="0D0D0D" w:themeColor="text1" w:themeTint="F2"/>
          <w:highlight w:val="none"/>
          <w14:textFill>
            <w14:solidFill>
              <w14:schemeClr w14:val="tx1">
                <w14:lumMod w14:val="95000"/>
                <w14:lumOff w14:val="5000"/>
              </w14:schemeClr>
            </w14:solidFill>
          </w14:textFill>
        </w:rPr>
      </w:pPr>
      <w:r>
        <w:rPr>
          <w:rFonts w:hint="eastAsia" w:ascii="黑体" w:hAnsi="黑体" w:eastAsia="黑体" w:cs="黑体"/>
          <w:sz w:val="24"/>
          <w:highlight w:val="none"/>
        </w:rPr>
        <w:t xml:space="preserve">签订日期：                                  签订日期： </w:t>
      </w:r>
      <w:r>
        <w:rPr>
          <w:rFonts w:hint="eastAsia" w:ascii="宋体" w:hAnsi="宋体" w:cs="宋体"/>
          <w:sz w:val="24"/>
          <w:highlight w:val="none"/>
        </w:rPr>
        <w:t xml:space="preserve">           </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007880">
    <w:pPr>
      <w:pStyle w:val="5"/>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0C8758D0">
                          <w:pPr>
                            <w:pStyle w:val="5"/>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aGmCS9MAAAAFAQAADwAAAAAAAAABACAAAAAiAAAAZHJzL2Rvd25y&#10;ZXYueG1sUEsBAhQAFAAAAAgAh07iQFq6k8jKAQAAlwMAAA4AAAAAAAAAAQAgAAAAIgEAAGRycy9l&#10;Mm9Eb2MueG1sUEsFBgAAAAAGAAYAWQEAAF4FAAAAAA==&#10;">
              <v:fill on="f" focussize="0,0"/>
              <v:stroke on="f" weight="1.25pt"/>
              <v:imagedata o:title=""/>
              <o:lock v:ext="edit" aspectratio="f"/>
              <v:textbox inset="0mm,0mm,0mm,0mm" style="mso-fit-shape-to-text:t;">
                <w:txbxContent>
                  <w:p w14:paraId="0C8758D0">
                    <w:pPr>
                      <w:pStyle w:val="5"/>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CA84C7">
    <w:pPr>
      <w:pStyle w:val="3"/>
      <w:ind w:firstLine="0"/>
      <w:jc w:val="center"/>
      <w:rPr>
        <w:rFonts w:ascii="黑体" w:eastAsia="黑体"/>
        <w:b/>
        <w:i/>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03BB9F"/>
    <w:multiLevelType w:val="singleLevel"/>
    <w:tmpl w:val="A403BB9F"/>
    <w:lvl w:ilvl="0" w:tentative="0">
      <w:start w:val="4"/>
      <w:numFmt w:val="chineseCounting"/>
      <w:suff w:val="space"/>
      <w:lvlText w:val="第%1条"/>
      <w:lvlJc w:val="left"/>
      <w:rPr>
        <w:rFonts w:hint="eastAsia"/>
      </w:rPr>
    </w:lvl>
  </w:abstractNum>
  <w:abstractNum w:abstractNumId="1">
    <w:nsid w:val="4E0026D9"/>
    <w:multiLevelType w:val="singleLevel"/>
    <w:tmpl w:val="4E0026D9"/>
    <w:lvl w:ilvl="0" w:tentative="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yMzdiNDBiYjlhOTU1OTE0NmMxYjlkMWE2Y2ViYWQifQ=="/>
  </w:docVars>
  <w:rsids>
    <w:rsidRoot w:val="605878F8"/>
    <w:rsid w:val="021D7820"/>
    <w:rsid w:val="0246662D"/>
    <w:rsid w:val="03F2526D"/>
    <w:rsid w:val="062D43AF"/>
    <w:rsid w:val="07E37AE3"/>
    <w:rsid w:val="08053793"/>
    <w:rsid w:val="0D812109"/>
    <w:rsid w:val="0F0947C0"/>
    <w:rsid w:val="0FDE5955"/>
    <w:rsid w:val="11193EBB"/>
    <w:rsid w:val="11677580"/>
    <w:rsid w:val="141A488D"/>
    <w:rsid w:val="14E867D0"/>
    <w:rsid w:val="15B8610B"/>
    <w:rsid w:val="1607230B"/>
    <w:rsid w:val="16D74CB7"/>
    <w:rsid w:val="17371C20"/>
    <w:rsid w:val="1C181061"/>
    <w:rsid w:val="1DCE19FF"/>
    <w:rsid w:val="1ED123F8"/>
    <w:rsid w:val="212E1977"/>
    <w:rsid w:val="21F82A2F"/>
    <w:rsid w:val="22717D6E"/>
    <w:rsid w:val="25E211E4"/>
    <w:rsid w:val="263C0693"/>
    <w:rsid w:val="268D5392"/>
    <w:rsid w:val="26C50688"/>
    <w:rsid w:val="271D6716"/>
    <w:rsid w:val="27AC4201"/>
    <w:rsid w:val="28F266C6"/>
    <w:rsid w:val="2A1A6F3D"/>
    <w:rsid w:val="2A57585E"/>
    <w:rsid w:val="2A7427EE"/>
    <w:rsid w:val="2DB52006"/>
    <w:rsid w:val="2F863070"/>
    <w:rsid w:val="313B58DE"/>
    <w:rsid w:val="31CD1512"/>
    <w:rsid w:val="355726A7"/>
    <w:rsid w:val="37345A39"/>
    <w:rsid w:val="385D5DEF"/>
    <w:rsid w:val="39C413D8"/>
    <w:rsid w:val="3B2B1608"/>
    <w:rsid w:val="3BF21AC7"/>
    <w:rsid w:val="3DE327E7"/>
    <w:rsid w:val="43F13A06"/>
    <w:rsid w:val="44E4666D"/>
    <w:rsid w:val="45800144"/>
    <w:rsid w:val="469F284C"/>
    <w:rsid w:val="47523D62"/>
    <w:rsid w:val="48827784"/>
    <w:rsid w:val="49F24AA4"/>
    <w:rsid w:val="4CDE7C43"/>
    <w:rsid w:val="4DEF0780"/>
    <w:rsid w:val="4F043B94"/>
    <w:rsid w:val="50A239EA"/>
    <w:rsid w:val="50DE148A"/>
    <w:rsid w:val="517B53A5"/>
    <w:rsid w:val="52B951A0"/>
    <w:rsid w:val="52D13D9A"/>
    <w:rsid w:val="55164621"/>
    <w:rsid w:val="563A433F"/>
    <w:rsid w:val="565D10B1"/>
    <w:rsid w:val="59C037C3"/>
    <w:rsid w:val="59E14FC4"/>
    <w:rsid w:val="5CB42396"/>
    <w:rsid w:val="5F2D2D5B"/>
    <w:rsid w:val="605878F8"/>
    <w:rsid w:val="60CD125B"/>
    <w:rsid w:val="61D01034"/>
    <w:rsid w:val="62652D11"/>
    <w:rsid w:val="62FD0D1B"/>
    <w:rsid w:val="63A01B77"/>
    <w:rsid w:val="63FA2AC7"/>
    <w:rsid w:val="68060525"/>
    <w:rsid w:val="693E23F6"/>
    <w:rsid w:val="6B140CA7"/>
    <w:rsid w:val="6BCB3497"/>
    <w:rsid w:val="6D2E7B45"/>
    <w:rsid w:val="6DA46816"/>
    <w:rsid w:val="70BC334B"/>
    <w:rsid w:val="712D00DD"/>
    <w:rsid w:val="762A1FEB"/>
    <w:rsid w:val="77EF1E28"/>
    <w:rsid w:val="786F7F10"/>
    <w:rsid w:val="78D43D20"/>
    <w:rsid w:val="78E074DD"/>
    <w:rsid w:val="7D822C8C"/>
    <w:rsid w:val="7F2F2512"/>
    <w:rsid w:val="7FB23413"/>
    <w:rsid w:val="7FC97C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6"/>
      <w:szCs w:val="36"/>
      <w:lang w:val="en-US" w:eastAsia="en-US" w:bidi="ar-SA"/>
    </w:rPr>
  </w:style>
  <w:style w:type="paragraph" w:styleId="3">
    <w:name w:val="Body Text Indent"/>
    <w:basedOn w:val="1"/>
    <w:qFormat/>
    <w:uiPriority w:val="0"/>
    <w:pPr>
      <w:ind w:firstLine="420"/>
    </w:pPr>
    <w:rPr>
      <w:szCs w:val="20"/>
    </w:rPr>
  </w:style>
  <w:style w:type="paragraph" w:styleId="4">
    <w:name w:val="Body Text Indent 2"/>
    <w:basedOn w:val="1"/>
    <w:qFormat/>
    <w:uiPriority w:val="0"/>
    <w:pPr>
      <w:spacing w:line="360" w:lineRule="exact"/>
      <w:ind w:firstLine="600" w:firstLineChars="250"/>
      <w:jc w:val="left"/>
    </w:pPr>
    <w:rPr>
      <w:sz w:val="24"/>
    </w:rPr>
  </w:style>
  <w:style w:type="paragraph" w:styleId="5">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3594</Words>
  <Characters>3705</Characters>
  <Lines>0</Lines>
  <Paragraphs>0</Paragraphs>
  <TotalTime>2</TotalTime>
  <ScaleCrop>false</ScaleCrop>
  <LinksUpToDate>false</LinksUpToDate>
  <CharactersWithSpaces>4038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2025-02-21T07:37:00Z</dcterms:created>
  <dc:creator>泡沫浮沉</dc:creator>
  <cp:lastModifiedBy>沈超</cp:lastModifiedBy>
  <cp:lastPrinted>2025-02-24T06:53:00Z</cp:lastPrinted>
  <dcterms:modified xsi:type="dcterms:W3CDTF">2025-02-28T07:19:36Z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20BF08CA295947EE80CF4156B1B55B75_13</vt:lpwstr>
  </property>
  <property fmtid="{D5CDD505-2E9C-101B-9397-08002B2CF9AE}" pid="4" name="KSOTemplateDocerSaveRecord">
    <vt:lpwstr>eyJoZGlkIjoiYWMzY2RhNmI3OTcyNjI1NjE5Mzg4YTI5MTY0ODZhYjgiLCJ1c2VySWQiOiIyNDI3MzI3NCJ9</vt:lpwstr>
  </property>
</Properties>
</file>