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637FA">
      <w:pPr>
        <w:spacing w:before="19"/>
        <w:ind w:left="118" w:right="0" w:firstLine="0"/>
        <w:jc w:val="center"/>
        <w:rPr>
          <w:rFonts w:hint="default" w:eastAsia="微软雅黑"/>
          <w:b/>
          <w:sz w:val="25"/>
          <w:lang w:val="en-US" w:eastAsia="zh-CN"/>
        </w:rPr>
      </w:pPr>
      <w:r>
        <w:rPr>
          <w:b/>
          <w:sz w:val="25"/>
        </w:rPr>
        <w:t>2025紫蓬山民俗文化周活动招商</w:t>
      </w:r>
      <w:r>
        <w:rPr>
          <w:rFonts w:hint="eastAsia"/>
          <w:b/>
          <w:sz w:val="25"/>
          <w:lang w:val="en-US" w:eastAsia="zh-CN"/>
        </w:rPr>
        <w:t>评分细则</w:t>
      </w:r>
    </w:p>
    <w:p w14:paraId="3FD395AC">
      <w:pPr>
        <w:pStyle w:val="3"/>
        <w:spacing w:before="7"/>
        <w:rPr>
          <w:b/>
          <w:sz w:val="8"/>
        </w:rPr>
      </w:pPr>
    </w:p>
    <w:p w14:paraId="38F0D296">
      <w:pPr>
        <w:pStyle w:val="2"/>
        <w:spacing w:before="206"/>
        <w:ind w:left="118"/>
        <w:rPr>
          <w:w w:val="105"/>
        </w:rPr>
      </w:pPr>
    </w:p>
    <w:p w14:paraId="08C7D123">
      <w:pPr>
        <w:pStyle w:val="2"/>
        <w:spacing w:before="206"/>
        <w:ind w:left="118"/>
      </w:pPr>
      <w:r>
        <w:rPr>
          <w:w w:val="105"/>
        </w:rPr>
        <w:t>一、基础要求（资格审核）</w:t>
      </w:r>
    </w:p>
    <w:p w14:paraId="06B02C59">
      <w:pPr>
        <w:pStyle w:val="3"/>
        <w:spacing w:before="180"/>
        <w:ind w:left="118"/>
      </w:pPr>
      <w:r>
        <w:rPr>
          <w:w w:val="105"/>
        </w:rPr>
        <w:t>参审单位须满足以下条件，未满足者直接否决：</w:t>
      </w:r>
    </w:p>
    <w:p w14:paraId="79A8AE11">
      <w:pPr>
        <w:pStyle w:val="7"/>
        <w:numPr>
          <w:ilvl w:val="0"/>
          <w:numId w:val="1"/>
        </w:numPr>
        <w:tabs>
          <w:tab w:val="left" w:pos="658"/>
        </w:tabs>
        <w:spacing w:before="112" w:after="0" w:line="240" w:lineRule="auto"/>
        <w:ind w:left="658" w:right="0" w:hanging="243"/>
        <w:jc w:val="left"/>
        <w:rPr>
          <w:sz w:val="21"/>
        </w:rPr>
      </w:pPr>
      <w:r>
        <w:rPr>
          <w:w w:val="105"/>
          <w:sz w:val="21"/>
        </w:rPr>
        <w:t>具备独立承担民事责任的能力，提供有效期内的营业执照；</w:t>
      </w:r>
    </w:p>
    <w:p w14:paraId="2418C7AD">
      <w:pPr>
        <w:pStyle w:val="2"/>
        <w:ind w:left="118"/>
      </w:pPr>
      <w:r>
        <w:rPr>
          <w:w w:val="105"/>
        </w:rPr>
        <w:t>二、评分标准（总分100分）</w:t>
      </w:r>
    </w:p>
    <w:p w14:paraId="6EB8ECA9">
      <w:pPr>
        <w:pStyle w:val="2"/>
        <w:numPr>
          <w:ilvl w:val="0"/>
          <w:numId w:val="0"/>
        </w:numPr>
        <w:ind w:leftChars="0" w:right="0" w:rightChars="0"/>
        <w:rPr>
          <w:w w:val="105"/>
        </w:rPr>
      </w:pPr>
      <w:r>
        <w:rPr>
          <w:rFonts w:hint="eastAsia"/>
          <w:w w:val="105"/>
          <w:lang w:val="en-US" w:eastAsia="zh-CN"/>
        </w:rPr>
        <w:t>1.</w:t>
      </w:r>
      <w:r>
        <w:rPr>
          <w:w w:val="105"/>
        </w:rPr>
        <w:t>业绩经验（10分）</w:t>
      </w:r>
    </w:p>
    <w:p w14:paraId="01849644">
      <w:pPr>
        <w:pStyle w:val="3"/>
        <w:spacing w:before="15"/>
        <w:rPr>
          <w:b/>
          <w:sz w:val="7"/>
        </w:rPr>
      </w:pPr>
    </w:p>
    <w:p w14:paraId="5296A6D3">
      <w:pPr>
        <w:pStyle w:val="2"/>
        <w:spacing w:before="52"/>
        <w:ind w:left="658"/>
        <w:rPr>
          <w:b w:val="0"/>
        </w:rPr>
      </w:pPr>
      <w:r>
        <w:rPr>
          <w:w w:val="105"/>
        </w:rPr>
        <w:t>评分依据</w:t>
      </w:r>
      <w:r>
        <w:rPr>
          <w:b w:val="0"/>
          <w:w w:val="105"/>
        </w:rPr>
        <w:t>：</w:t>
      </w:r>
    </w:p>
    <w:p w14:paraId="5F2C9E9F">
      <w:pPr>
        <w:pStyle w:val="3"/>
        <w:spacing w:before="187" w:line="175" w:lineRule="auto"/>
        <w:ind w:left="1198" w:right="376"/>
      </w:pPr>
      <w:r>
        <w:t>提供2022年1月至今签订的营销策划类合同（单个合同金额≥20万元），每份合同得5分，满分</w:t>
      </w:r>
      <w:r>
        <w:rPr>
          <w:spacing w:val="-9"/>
        </w:rPr>
        <w:t xml:space="preserve">10  </w:t>
      </w:r>
      <w:r>
        <w:rPr>
          <w:w w:val="105"/>
        </w:rPr>
        <w:t>分。</w:t>
      </w:r>
    </w:p>
    <w:p w14:paraId="594F8FC9">
      <w:pPr>
        <w:pStyle w:val="3"/>
        <w:spacing w:before="218" w:line="175" w:lineRule="auto"/>
        <w:ind w:left="1198" w:right="198"/>
      </w:pPr>
      <w:r>
        <w:t>需提供合同复印件（含金额页、签字盖章页）及对应银行回款凭证/</w:t>
      </w:r>
      <w:r>
        <w:rPr>
          <w:spacing w:val="-2"/>
        </w:rPr>
        <w:t xml:space="preserve">发票，未提供或金额不符者不得  </w:t>
      </w:r>
      <w:r>
        <w:rPr>
          <w:w w:val="105"/>
        </w:rPr>
        <w:t>分。</w:t>
      </w:r>
    </w:p>
    <w:p w14:paraId="5A090E35">
      <w:pPr>
        <w:pStyle w:val="2"/>
        <w:numPr>
          <w:ilvl w:val="0"/>
          <w:numId w:val="0"/>
        </w:numPr>
        <w:ind w:leftChars="0" w:right="0" w:rightChars="0"/>
        <w:rPr>
          <w:w w:val="105"/>
        </w:rPr>
      </w:pPr>
      <w:r>
        <w:rPr>
          <w:rFonts w:hint="eastAsia"/>
          <w:w w:val="105"/>
          <w:lang w:val="en-US" w:eastAsia="zh-CN"/>
        </w:rPr>
        <w:t>2.</w:t>
      </w:r>
      <w:r>
        <w:rPr>
          <w:w w:val="105"/>
        </w:rPr>
        <w:t>创意策划方案（60分）</w:t>
      </w:r>
    </w:p>
    <w:p w14:paraId="0DE63263">
      <w:pPr>
        <w:pStyle w:val="3"/>
        <w:spacing w:before="15"/>
        <w:rPr>
          <w:b/>
          <w:sz w:val="7"/>
        </w:rPr>
      </w:pPr>
    </w:p>
    <w:p w14:paraId="3C0D9545">
      <w:pPr>
        <w:pStyle w:val="2"/>
        <w:spacing w:before="52"/>
        <w:ind w:left="658"/>
        <w:rPr>
          <w:b w:val="0"/>
        </w:rPr>
      </w:pPr>
      <w:r>
        <w:rPr>
          <w:w w:val="105"/>
        </w:rPr>
        <w:t>评分细则</w:t>
      </w:r>
      <w:r>
        <w:rPr>
          <w:b w:val="0"/>
          <w:w w:val="105"/>
        </w:rPr>
        <w:t>：</w:t>
      </w:r>
    </w:p>
    <w:p w14:paraId="1D58578C">
      <w:pPr>
        <w:spacing w:before="112"/>
        <w:ind w:left="1198" w:right="0" w:firstLine="0"/>
        <w:jc w:val="left"/>
        <w:rPr>
          <w:sz w:val="21"/>
        </w:rPr>
      </w:pPr>
      <w:r>
        <w:rPr>
          <w:rFonts w:hint="eastAsia" w:ascii="仿宋_GB2312" w:hAnsi="仿宋_GB2312" w:eastAsia="仿宋_GB2312" w:cs="仿宋_GB2312"/>
          <w:b/>
          <w:w w:val="105"/>
          <w:sz w:val="21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w w:val="105"/>
          <w:sz w:val="21"/>
          <w:lang w:val="en-US" w:eastAsia="zh-CN"/>
        </w:rPr>
        <w:t>1）</w:t>
      </w:r>
      <w:r>
        <w:rPr>
          <w:b/>
          <w:w w:val="105"/>
          <w:sz w:val="21"/>
        </w:rPr>
        <w:t>创意性（30分）</w:t>
      </w:r>
      <w:r>
        <w:rPr>
          <w:w w:val="105"/>
          <w:sz w:val="21"/>
        </w:rPr>
        <w:t>：</w:t>
      </w:r>
    </w:p>
    <w:p w14:paraId="0A7987D6">
      <w:pPr>
        <w:spacing w:before="187" w:line="175" w:lineRule="auto"/>
        <w:ind w:left="1738" w:right="154" w:firstLine="0"/>
        <w:jc w:val="left"/>
        <w:rPr>
          <w:sz w:val="21"/>
        </w:rPr>
      </w:pPr>
      <w:r>
        <w:rPr>
          <w:b/>
          <w:sz w:val="21"/>
        </w:rPr>
        <w:t>品牌IP创新性（10分）</w:t>
      </w:r>
      <w:r>
        <w:rPr>
          <w:sz w:val="21"/>
        </w:rPr>
        <w:t>：是否提出独特文化符号、IP</w:t>
      </w:r>
      <w:r>
        <w:rPr>
          <w:spacing w:val="-1"/>
          <w:sz w:val="21"/>
        </w:rPr>
        <w:t xml:space="preserve">形象或主题故事，能否强化紫蓬山民俗文  </w:t>
      </w:r>
      <w:r>
        <w:rPr>
          <w:w w:val="105"/>
          <w:sz w:val="21"/>
        </w:rPr>
        <w:t>化辨识度。</w:t>
      </w:r>
    </w:p>
    <w:p w14:paraId="3F36003B">
      <w:pPr>
        <w:spacing w:before="218" w:line="175" w:lineRule="auto"/>
        <w:ind w:left="1738" w:right="151" w:firstLine="0"/>
        <w:jc w:val="left"/>
        <w:rPr>
          <w:sz w:val="21"/>
        </w:rPr>
      </w:pPr>
      <w:r>
        <w:rPr>
          <w:b/>
          <w:sz w:val="21"/>
        </w:rPr>
        <w:t>线上线下融合度（10分）</w:t>
      </w:r>
      <w:r>
        <w:rPr>
          <w:sz w:val="21"/>
        </w:rPr>
        <w:t>：线上传播（如社交媒体、短视频、</w:t>
      </w:r>
      <w:r>
        <w:rPr>
          <w:spacing w:val="-4"/>
          <w:sz w:val="21"/>
        </w:rPr>
        <w:t>KOL</w:t>
      </w:r>
      <w:r>
        <w:rPr>
          <w:sz w:val="21"/>
        </w:rPr>
        <w:t>合作）与线下活动（</w:t>
      </w:r>
      <w:r>
        <w:rPr>
          <w:spacing w:val="-7"/>
          <w:sz w:val="21"/>
        </w:rPr>
        <w:t xml:space="preserve">如场景  </w:t>
      </w:r>
      <w:r>
        <w:rPr>
          <w:w w:val="105"/>
          <w:sz w:val="21"/>
        </w:rPr>
        <w:t>布置、互动设计）的整合性。</w:t>
      </w:r>
    </w:p>
    <w:p w14:paraId="4DBC4785">
      <w:pPr>
        <w:spacing w:before="143" w:line="309" w:lineRule="auto"/>
        <w:ind w:left="1198" w:right="564" w:firstLine="540"/>
        <w:jc w:val="left"/>
        <w:rPr>
          <w:sz w:val="21"/>
        </w:rPr>
      </w:pPr>
      <w:r>
        <w:rPr>
          <w:b/>
          <w:sz w:val="21"/>
        </w:rPr>
        <w:t>传播策略创新（10分）</w:t>
      </w:r>
      <w:r>
        <w:rPr>
          <w:spacing w:val="-1"/>
          <w:sz w:val="21"/>
        </w:rPr>
        <w:t xml:space="preserve">：是否运用新媒体矩阵、跨界合作、沉浸式体验等创新传播手段。 </w:t>
      </w:r>
      <w:r>
        <w:rPr>
          <w:rFonts w:hint="eastAsia" w:ascii="仿宋_GB2312" w:hAnsi="仿宋_GB2312" w:eastAsia="仿宋_GB2312" w:cs="仿宋_GB2312"/>
          <w:b/>
          <w:bCs/>
          <w:spacing w:val="-1"/>
          <w:sz w:val="21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pacing w:val="-1"/>
          <w:sz w:val="21"/>
          <w:lang w:val="en-US" w:eastAsia="zh-CN"/>
        </w:rPr>
        <w:t>2）</w:t>
      </w:r>
      <w:r>
        <w:rPr>
          <w:b/>
          <w:w w:val="105"/>
          <w:sz w:val="21"/>
        </w:rPr>
        <w:t>可执行性（30分）</w:t>
      </w:r>
      <w:r>
        <w:rPr>
          <w:w w:val="105"/>
          <w:sz w:val="21"/>
        </w:rPr>
        <w:t>：</w:t>
      </w:r>
    </w:p>
    <w:p w14:paraId="66535B0A">
      <w:pPr>
        <w:spacing w:before="75" w:line="175" w:lineRule="auto"/>
        <w:ind w:left="1738" w:right="348" w:firstLine="0"/>
        <w:jc w:val="left"/>
        <w:rPr>
          <w:sz w:val="21"/>
        </w:rPr>
      </w:pPr>
      <w:r>
        <w:rPr>
          <w:b/>
          <w:sz w:val="21"/>
        </w:rPr>
        <w:t>活动流程与场地规划（10分）</w:t>
      </w:r>
      <w:r>
        <w:rPr>
          <w:sz w:val="21"/>
        </w:rPr>
        <w:t>：动线设计合理，功能区（如市集、展演区、互动区）</w:t>
      </w:r>
      <w:r>
        <w:rPr>
          <w:spacing w:val="-7"/>
          <w:sz w:val="21"/>
        </w:rPr>
        <w:t xml:space="preserve">划分清  </w:t>
      </w:r>
      <w:r>
        <w:rPr>
          <w:w w:val="105"/>
          <w:sz w:val="21"/>
        </w:rPr>
        <w:t>晰，符合安全规范。</w:t>
      </w:r>
    </w:p>
    <w:p w14:paraId="77B55991">
      <w:pPr>
        <w:spacing w:before="218" w:line="175" w:lineRule="auto"/>
        <w:ind w:left="1738" w:right="132" w:firstLine="0"/>
        <w:jc w:val="left"/>
        <w:rPr>
          <w:sz w:val="21"/>
        </w:rPr>
      </w:pPr>
      <w:r>
        <w:rPr>
          <w:b/>
          <w:sz w:val="21"/>
        </w:rPr>
        <w:t>业态规划与招商能力（10分）</w:t>
      </w:r>
      <w:r>
        <w:rPr>
          <w:sz w:val="21"/>
        </w:rPr>
        <w:t>：业态组合（传统民俗手作、非遗体验、特色美食等）</w:t>
      </w:r>
      <w:r>
        <w:rPr>
          <w:spacing w:val="-5"/>
          <w:sz w:val="21"/>
        </w:rPr>
        <w:t xml:space="preserve">的丰富性  </w:t>
      </w:r>
      <w:r>
        <w:rPr>
          <w:w w:val="105"/>
          <w:sz w:val="21"/>
        </w:rPr>
        <w:t>及档次（引入知名品牌可额外加2分）。</w:t>
      </w:r>
    </w:p>
    <w:p w14:paraId="64392B6B">
      <w:pPr>
        <w:spacing w:before="218" w:line="175" w:lineRule="auto"/>
        <w:ind w:left="1738" w:right="132" w:firstLine="0"/>
        <w:jc w:val="left"/>
        <w:rPr>
          <w:sz w:val="21"/>
        </w:rPr>
      </w:pPr>
      <w:r>
        <w:rPr>
          <w:b/>
          <w:sz w:val="21"/>
        </w:rPr>
        <w:t>风险控制与应急预案（10分）</w:t>
      </w:r>
      <w:r>
        <w:rPr>
          <w:spacing w:val="-1"/>
          <w:sz w:val="21"/>
        </w:rPr>
        <w:t xml:space="preserve">：针对人流管控、天气变化、设备故障等制定详细预案，并明确  </w:t>
      </w:r>
      <w:r>
        <w:rPr>
          <w:w w:val="105"/>
          <w:sz w:val="21"/>
        </w:rPr>
        <w:t>责任分工。</w:t>
      </w:r>
    </w:p>
    <w:p w14:paraId="3F3E8FA6">
      <w:pPr>
        <w:pStyle w:val="2"/>
        <w:numPr>
          <w:ilvl w:val="0"/>
          <w:numId w:val="0"/>
        </w:numPr>
        <w:ind w:leftChars="0" w:right="0" w:rightChars="0"/>
        <w:rPr>
          <w:w w:val="105"/>
        </w:rPr>
      </w:pPr>
      <w:r>
        <w:rPr>
          <w:rFonts w:hint="eastAsia"/>
          <w:w w:val="105"/>
          <w:lang w:val="en-US" w:eastAsia="zh-CN"/>
        </w:rPr>
        <w:t>3.</w:t>
      </w:r>
      <w:r>
        <w:rPr>
          <w:w w:val="105"/>
        </w:rPr>
        <w:t>场地费报价（30分）</w:t>
      </w:r>
    </w:p>
    <w:p w14:paraId="716BE19A">
      <w:pPr>
        <w:pStyle w:val="3"/>
        <w:spacing w:before="10"/>
        <w:rPr>
          <w:b/>
          <w:sz w:val="8"/>
        </w:rPr>
      </w:pPr>
    </w:p>
    <w:p w14:paraId="5A7AAA40">
      <w:pPr>
        <w:pStyle w:val="2"/>
        <w:spacing w:before="52"/>
        <w:ind w:left="658"/>
        <w:rPr>
          <w:b w:val="0"/>
        </w:rPr>
      </w:pPr>
      <w:r>
        <w:rPr>
          <w:w w:val="105"/>
        </w:rPr>
        <w:t>评分规则</w:t>
      </w:r>
      <w:r>
        <w:rPr>
          <w:b w:val="0"/>
          <w:w w:val="105"/>
        </w:rPr>
        <w:t>：</w:t>
      </w:r>
    </w:p>
    <w:p w14:paraId="34633D48">
      <w:pPr>
        <w:pStyle w:val="3"/>
        <w:ind w:left="1198"/>
      </w:pPr>
      <w:r>
        <w:rPr>
          <w:b/>
          <w:w w:val="105"/>
        </w:rPr>
        <w:t>基准价</w:t>
      </w:r>
      <w:r>
        <w:rPr>
          <w:w w:val="105"/>
        </w:rPr>
        <w:t>：所有有效报价中的最高报价为基准价（基准价对应30分）。</w:t>
      </w:r>
    </w:p>
    <w:p w14:paraId="2CD70175">
      <w:pPr>
        <w:pStyle w:val="2"/>
        <w:spacing w:before="24"/>
        <w:ind w:left="1198"/>
        <w:rPr>
          <w:b w:val="0"/>
        </w:rPr>
      </w:pPr>
      <w:r>
        <w:rPr>
          <w:w w:val="105"/>
        </w:rPr>
        <w:t>其他报价得分</w:t>
      </w:r>
      <w:r>
        <w:rPr>
          <w:b w:val="0"/>
          <w:w w:val="105"/>
        </w:rPr>
        <w:t>：</w:t>
      </w:r>
    </w:p>
    <w:p w14:paraId="031151E7">
      <w:pPr>
        <w:pStyle w:val="3"/>
        <w:spacing w:before="0" w:line="338" w:lineRule="exact"/>
        <w:ind w:left="1197"/>
        <w:rPr>
          <w:rFonts w:hint="eastAsia" w:eastAsia="微软雅黑"/>
          <w:lang w:val="en-US" w:eastAsia="zh-CN"/>
        </w:rPr>
      </w:pPr>
      <w:r>
        <w:rPr>
          <w:w w:val="105"/>
        </w:rPr>
        <w:t>得分 = 30 −</w:t>
      </w:r>
      <w:r>
        <w:rPr>
          <w:rFonts w:hint="eastAsia"/>
          <w:w w:val="105"/>
          <w:lang w:val="en-US" w:eastAsia="zh-CN"/>
        </w:rPr>
        <w:t>[</w:t>
      </w:r>
      <w:r>
        <w:rPr>
          <w:w w:val="105"/>
        </w:rPr>
        <w:t>(基准价− 参审报价</w:t>
      </w:r>
      <w:r>
        <w:rPr>
          <w:rFonts w:hint="eastAsia"/>
          <w:w w:val="105"/>
          <w:lang w:eastAsia="zh-CN"/>
        </w:rPr>
        <w:t>）</w:t>
      </w:r>
      <w:r>
        <w:rPr>
          <w:rFonts w:hint="eastAsia"/>
          <w:w w:val="105"/>
          <w:lang w:val="en-US" w:eastAsia="zh-CN"/>
        </w:rPr>
        <w:t xml:space="preserve">/基准价 </w:t>
      </w:r>
      <w:r>
        <w:rPr>
          <w:w w:val="105"/>
        </w:rPr>
        <w:t>× 100 × 0.3)</w:t>
      </w:r>
      <w:r>
        <w:rPr>
          <w:rFonts w:hint="eastAsia"/>
          <w:w w:val="105"/>
          <w:lang w:val="en-US" w:eastAsia="zh-CN"/>
        </w:rPr>
        <w:t>]</w:t>
      </w:r>
      <w:bookmarkStart w:id="0" w:name="_GoBack"/>
      <w:bookmarkEnd w:id="0"/>
    </w:p>
    <w:p w14:paraId="2A63F477">
      <w:pPr>
        <w:pStyle w:val="3"/>
        <w:spacing w:before="90"/>
        <w:ind w:left="1197"/>
      </w:pPr>
      <w:r>
        <w:rPr>
          <w:w w:val="105"/>
        </w:rPr>
        <w:t>（例：基准价30万元，某报价25万元，则得分=30 - [(30-25)/30×100×0.3] = 30 - 5 = 25分）</w:t>
      </w:r>
    </w:p>
    <w:p w14:paraId="0BBBE360">
      <w:pPr>
        <w:pStyle w:val="3"/>
        <w:spacing w:before="135"/>
        <w:ind w:left="1197"/>
      </w:pPr>
      <w:r>
        <w:rPr>
          <w:b/>
          <w:w w:val="105"/>
        </w:rPr>
        <w:t>否决条款</w:t>
      </w:r>
      <w:r>
        <w:rPr>
          <w:w w:val="105"/>
        </w:rPr>
        <w:t>：报价低于20万元，视为无效报价。</w:t>
      </w:r>
    </w:p>
    <w:p w14:paraId="6C4E0FE3">
      <w:pPr>
        <w:pStyle w:val="2"/>
      </w:pPr>
      <w:r>
        <w:rPr>
          <w:w w:val="105"/>
        </w:rPr>
        <w:t>三、评审流程</w:t>
      </w:r>
    </w:p>
    <w:p w14:paraId="0F054AB7">
      <w:pPr>
        <w:pStyle w:val="7"/>
        <w:numPr>
          <w:ilvl w:val="1"/>
          <w:numId w:val="2"/>
        </w:numPr>
        <w:tabs>
          <w:tab w:val="left" w:pos="658"/>
        </w:tabs>
        <w:spacing w:before="180" w:after="0" w:line="240" w:lineRule="auto"/>
        <w:ind w:left="657" w:right="0" w:hanging="243"/>
        <w:jc w:val="left"/>
        <w:rPr>
          <w:sz w:val="21"/>
        </w:rPr>
      </w:pPr>
      <w:r>
        <w:rPr>
          <w:b/>
          <w:w w:val="105"/>
          <w:sz w:val="21"/>
        </w:rPr>
        <w:t>资格初审</w:t>
      </w:r>
      <w:r>
        <w:rPr>
          <w:w w:val="105"/>
          <w:sz w:val="21"/>
        </w:rPr>
        <w:t>：剔除不符合基础要求的参审单位。</w:t>
      </w:r>
    </w:p>
    <w:p w14:paraId="56320EA1">
      <w:pPr>
        <w:pStyle w:val="7"/>
        <w:numPr>
          <w:ilvl w:val="1"/>
          <w:numId w:val="2"/>
        </w:numPr>
        <w:tabs>
          <w:tab w:val="left" w:pos="658"/>
        </w:tabs>
        <w:spacing w:before="112" w:after="0" w:line="240" w:lineRule="auto"/>
        <w:ind w:left="657" w:right="0" w:hanging="243"/>
        <w:jc w:val="left"/>
        <w:rPr>
          <w:sz w:val="21"/>
        </w:rPr>
      </w:pPr>
      <w:r>
        <w:rPr>
          <w:b/>
          <w:w w:val="105"/>
          <w:sz w:val="21"/>
        </w:rPr>
        <w:t>方案评审</w:t>
      </w:r>
      <w:r>
        <w:rPr>
          <w:w w:val="105"/>
          <w:sz w:val="21"/>
        </w:rPr>
        <w:t>：由5人评审组独立打分，取平均分。</w:t>
      </w:r>
    </w:p>
    <w:p w14:paraId="36FAF0A8">
      <w:pPr>
        <w:pStyle w:val="7"/>
        <w:numPr>
          <w:ilvl w:val="1"/>
          <w:numId w:val="2"/>
        </w:numPr>
        <w:tabs>
          <w:tab w:val="left" w:pos="658"/>
        </w:tabs>
        <w:spacing w:before="112" w:after="0" w:line="240" w:lineRule="auto"/>
        <w:ind w:left="657" w:right="0" w:hanging="243"/>
        <w:jc w:val="left"/>
        <w:rPr>
          <w:sz w:val="21"/>
        </w:rPr>
      </w:pPr>
      <w:r>
        <w:rPr>
          <w:b/>
          <w:w w:val="105"/>
          <w:sz w:val="21"/>
        </w:rPr>
        <w:t>结果公示</w:t>
      </w:r>
      <w:r>
        <w:rPr>
          <w:w w:val="105"/>
          <w:sz w:val="21"/>
        </w:rPr>
        <w:t>：综合得分最高者中标，若并列则由专家组二次投票表决。</w:t>
      </w:r>
    </w:p>
    <w:p w14:paraId="3435BBD4">
      <w:pPr>
        <w:pStyle w:val="3"/>
        <w:spacing w:before="11"/>
        <w:rPr>
          <w:sz w:val="6"/>
        </w:rPr>
      </w:pPr>
    </w:p>
    <w:p w14:paraId="0F5F18A7">
      <w:pPr>
        <w:pStyle w:val="2"/>
        <w:spacing w:before="206"/>
        <w:rPr>
          <w:rFonts w:hint="default" w:eastAsia="微软雅黑"/>
          <w:lang w:val="en-US" w:eastAsia="zh-CN"/>
        </w:rPr>
      </w:pPr>
      <w:r>
        <w:rPr>
          <w:w w:val="105"/>
        </w:rPr>
        <w:t>四、履约与</w:t>
      </w:r>
      <w:r>
        <w:rPr>
          <w:rFonts w:hint="eastAsia"/>
          <w:w w:val="105"/>
          <w:lang w:val="en-US" w:eastAsia="zh-CN"/>
        </w:rPr>
        <w:t>费用支付</w:t>
      </w:r>
    </w:p>
    <w:p w14:paraId="3489F742">
      <w:pPr>
        <w:pStyle w:val="3"/>
        <w:spacing w:before="180" w:line="309" w:lineRule="auto"/>
        <w:ind w:left="658" w:right="2521"/>
      </w:pPr>
      <w:r>
        <w:rPr>
          <w:rFonts w:hint="eastAsia"/>
          <w:b/>
          <w:lang w:val="en-US" w:eastAsia="zh-CN"/>
        </w:rPr>
        <w:t>1.</w:t>
      </w:r>
      <w:r>
        <w:rPr>
          <w:b/>
        </w:rPr>
        <w:t>保证金</w:t>
      </w:r>
      <w:r>
        <w:t>：中标方需缴纳10万元履约保证金（活动结束后无违约行为全额退还）</w:t>
      </w:r>
      <w:r>
        <w:rPr>
          <w:spacing w:val="-18"/>
        </w:rPr>
        <w:t xml:space="preserve">。 </w:t>
      </w:r>
      <w:r>
        <w:rPr>
          <w:rFonts w:hint="eastAsia"/>
          <w:spacing w:val="-18"/>
          <w:lang w:val="en-US" w:eastAsia="zh-CN"/>
        </w:rPr>
        <w:t>2.</w:t>
      </w:r>
      <w:r>
        <w:rPr>
          <w:rFonts w:hint="eastAsia"/>
          <w:b/>
          <w:w w:val="105"/>
        </w:rPr>
        <w:t>费用支付</w:t>
      </w:r>
      <w:r>
        <w:rPr>
          <w:w w:val="105"/>
        </w:rPr>
        <w:t>：</w:t>
      </w:r>
    </w:p>
    <w:p w14:paraId="7CAF9823">
      <w:pPr>
        <w:pStyle w:val="3"/>
        <w:spacing w:before="0"/>
        <w:ind w:left="1198"/>
      </w:pPr>
      <w:r>
        <w:rPr>
          <w:rFonts w:hint="eastAsia" w:ascii="仿宋_GB2312" w:hAnsi="仿宋_GB2312" w:eastAsia="仿宋_GB2312" w:cs="仿宋_GB2312"/>
          <w:w w:val="105"/>
        </w:rPr>
        <w:t>①</w:t>
      </w:r>
      <w:r>
        <w:rPr>
          <w:w w:val="105"/>
        </w:rPr>
        <w:t>场地费：不低于20万元（以最终报价为准）。</w:t>
      </w:r>
    </w:p>
    <w:p w14:paraId="481ADFC2">
      <w:pPr>
        <w:pStyle w:val="3"/>
        <w:spacing w:before="91"/>
        <w:ind w:left="1169"/>
      </w:pPr>
      <w:r>
        <w:rPr>
          <w:rFonts w:hint="eastAsia" w:ascii="仿宋_GB2312" w:hAnsi="仿宋_GB2312" w:eastAsia="仿宋_GB2312" w:cs="仿宋_GB2312"/>
        </w:rPr>
        <w:t>②</w:t>
      </w:r>
      <w:r>
        <w:t>营收分成：总营收（含自营、商户分成、租金等）的5%。</w:t>
      </w:r>
    </w:p>
    <w:p w14:paraId="0FF97BAB">
      <w:pPr>
        <w:pStyle w:val="3"/>
        <w:ind w:left="658"/>
      </w:pPr>
      <w:r>
        <w:rPr>
          <w:rFonts w:hint="eastAsia"/>
          <w:b/>
          <w:lang w:val="en-US" w:eastAsia="zh-CN"/>
        </w:rPr>
        <w:t>3.</w:t>
      </w:r>
      <w:r>
        <w:rPr>
          <w:b/>
        </w:rPr>
        <w:t>说明</w:t>
      </w:r>
      <w:r>
        <w:t>：乙方需统一收银、提交营收报表，并接受我方财务审计。</w:t>
      </w:r>
    </w:p>
    <w:p w14:paraId="1218843A">
      <w:pPr>
        <w:pStyle w:val="3"/>
        <w:spacing w:before="14"/>
        <w:rPr>
          <w:sz w:val="7"/>
        </w:rPr>
      </w:pPr>
    </w:p>
    <w:p w14:paraId="371BD704">
      <w:pPr>
        <w:pStyle w:val="3"/>
        <w:spacing w:before="17"/>
        <w:rPr>
          <w:sz w:val="7"/>
        </w:rPr>
      </w:pPr>
    </w:p>
    <w:sectPr>
      <w:pgSz w:w="11900" w:h="16840"/>
      <w:pgMar w:top="480" w:right="560" w:bottom="280" w:left="5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BA6B53"/>
    <w:multiLevelType w:val="multilevel"/>
    <w:tmpl w:val="DCBA6B53"/>
    <w:lvl w:ilvl="0" w:tentative="0">
      <w:start w:val="1"/>
      <w:numFmt w:val="decimal"/>
      <w:lvlText w:val="%1."/>
      <w:lvlJc w:val="left"/>
      <w:pPr>
        <w:ind w:left="333" w:hanging="216"/>
        <w:jc w:val="left"/>
      </w:pPr>
      <w:rPr>
        <w:rFonts w:hint="default" w:ascii="微软雅黑" w:hAnsi="微软雅黑" w:eastAsia="微软雅黑" w:cs="微软雅黑"/>
        <w:b/>
        <w:bCs/>
        <w:w w:val="99"/>
        <w:sz w:val="18"/>
        <w:szCs w:val="18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657" w:hanging="243"/>
        <w:jc w:val="left"/>
      </w:pPr>
      <w:rPr>
        <w:rFonts w:hint="default" w:ascii="微软雅黑" w:hAnsi="微软雅黑" w:eastAsia="微软雅黑" w:cs="微软雅黑"/>
        <w:spacing w:val="-1"/>
        <w:w w:val="102"/>
        <w:sz w:val="21"/>
        <w:szCs w:val="21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84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08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33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57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81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06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30" w:hanging="243"/>
      </w:pPr>
      <w:rPr>
        <w:rFonts w:hint="default"/>
        <w:lang w:val="zh-CN" w:eastAsia="zh-CN" w:bidi="zh-CN"/>
      </w:rPr>
    </w:lvl>
  </w:abstractNum>
  <w:abstractNum w:abstractNumId="1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658" w:hanging="243"/>
        <w:jc w:val="left"/>
      </w:pPr>
      <w:rPr>
        <w:rFonts w:hint="default" w:ascii="微软雅黑" w:hAnsi="微软雅黑" w:eastAsia="微软雅黑" w:cs="微软雅黑"/>
        <w:w w:val="102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71" w:hanging="24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83" w:hanging="24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95" w:hanging="24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07" w:hanging="24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19" w:hanging="24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31" w:hanging="24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3" w:hanging="24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55" w:hanging="24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MzEyMzdiNDBiYjlhOTU1OTE0NmMxYjlkMWE2Y2ViYWQifQ=="/>
  </w:docVars>
  <w:rsids>
    <w:rsidRoot w:val="00000000"/>
    <w:rsid w:val="0BB80CBC"/>
    <w:rsid w:val="0CC5254F"/>
    <w:rsid w:val="0EB21FBD"/>
    <w:rsid w:val="22626CAD"/>
    <w:rsid w:val="29F95074"/>
    <w:rsid w:val="2E0E6DB8"/>
    <w:rsid w:val="2E113916"/>
    <w:rsid w:val="31514C86"/>
    <w:rsid w:val="3188212E"/>
    <w:rsid w:val="40980764"/>
    <w:rsid w:val="425E25A2"/>
    <w:rsid w:val="460F14C8"/>
    <w:rsid w:val="475B10C1"/>
    <w:rsid w:val="494B0054"/>
    <w:rsid w:val="4B6422B6"/>
    <w:rsid w:val="53071EA5"/>
    <w:rsid w:val="5D3F4BF0"/>
    <w:rsid w:val="64B11E2F"/>
    <w:rsid w:val="670A3E82"/>
    <w:rsid w:val="695966B3"/>
    <w:rsid w:val="6E6234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qFormat/>
    <w:uiPriority w:val="1"/>
    <w:pPr>
      <w:spacing w:before="220"/>
      <w:ind w:left="117"/>
      <w:outlineLvl w:val="1"/>
    </w:pPr>
    <w:rPr>
      <w:rFonts w:ascii="微软雅黑" w:hAnsi="微软雅黑" w:eastAsia="微软雅黑" w:cs="微软雅黑"/>
      <w:b/>
      <w:bCs/>
      <w:sz w:val="21"/>
      <w:szCs w:val="21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12"/>
    </w:pPr>
    <w:rPr>
      <w:rFonts w:ascii="微软雅黑" w:hAnsi="微软雅黑" w:eastAsia="微软雅黑" w:cs="微软雅黑"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12"/>
      <w:ind w:left="658" w:hanging="243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855</Words>
  <Characters>918</Characters>
  <TotalTime>3</TotalTime>
  <ScaleCrop>false</ScaleCrop>
  <LinksUpToDate>false</LinksUpToDate>
  <CharactersWithSpaces>950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2025-02-28T03:37:00Z</dcterms:created>
  <dc:creator>lenovo</dc:creator>
  <cp:lastModifiedBy>沈超</cp:lastModifiedBy>
  <cp:lastPrinted>2025-02-28T07:28:00Z</cp:lastPrinted>
  <dcterms:modified xsi:type="dcterms:W3CDTF">2025-02-28T07:41:13Z</dcterms:modified>
  <dc:title>新建 文本文档.HTML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2025-02-28T00:00:00Z</vt:filetime>
  </property>
  <property fmtid="{D5CDD505-2E9C-101B-9397-08002B2CF9AE}" pid="3" name="Creator">
    <vt:lpwstr>Mozilla/5.0 (Windows NT 10.0; Win64; x64) AppleWebKit/537.36 (KHTML, like Gecko) Chrome/133.0.0.0 Safari/537.36 Edg/133.0.0.0</vt:lpwstr>
  </property>
  <property fmtid="{D5CDD505-2E9C-101B-9397-08002B2CF9AE}" pid="4" name="LastSaved">
    <vt:filetime>2025-02-28T00:00:00Z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51A7BF5988CD47EEA390CD3584FED03F_12</vt:lpwstr>
  </property>
</Properties>
</file>