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9E79AB">
      <w:pPr>
        <w:keepNext w:val="0"/>
        <w:keepLines w:val="0"/>
        <w:pageBreakBefore w:val="0"/>
        <w:widowControl w:val="0"/>
        <w:kinsoku/>
        <w:wordWrap/>
        <w:overflowPunct/>
        <w:topLinePunct w:val="0"/>
        <w:autoSpaceDE/>
        <w:autoSpaceDN/>
        <w:bidi w:val="0"/>
        <w:adjustRightInd/>
        <w:snapToGrid w:val="0"/>
        <w:spacing w:before="157" w:beforeLines="50" w:line="360" w:lineRule="auto"/>
        <w:jc w:val="center"/>
        <w:textAlignment w:val="auto"/>
        <w:rPr>
          <w:rFonts w:hint="default" w:ascii="黑体" w:hAnsi="黑体" w:eastAsia="黑体" w:cs="黑体"/>
          <w:sz w:val="44"/>
          <w:szCs w:val="44"/>
          <w:lang w:val="en-US" w:eastAsia="zh-CN"/>
        </w:rPr>
      </w:pPr>
      <w:r>
        <w:rPr>
          <w:rFonts w:hint="eastAsia" w:ascii="黑体" w:hAnsi="黑体" w:eastAsia="黑体" w:cs="黑体"/>
          <w:sz w:val="44"/>
          <w:szCs w:val="44"/>
          <w:lang w:val="en-US" w:eastAsia="zh-CN"/>
        </w:rPr>
        <w:t>三河古镇等景区2025年新年美陈采购合同</w:t>
      </w:r>
    </w:p>
    <w:p w14:paraId="0524865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甲方：肥西县三河文旅发展有限公司</w:t>
      </w:r>
    </w:p>
    <w:p w14:paraId="121FE846">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乙方：</w:t>
      </w:r>
    </w:p>
    <w:p w14:paraId="121BBA84">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480" w:firstLineChars="20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根据《中华人民共和国民法典》等法律规定，甲乙双方经友好协商，本着自愿、平等、互利的原则，就甲方委托乙方提供旗下景区2025年新年美陈采购有关事宜达成如下条款，以兹共同遵守、全面履行。</w:t>
      </w:r>
    </w:p>
    <w:p w14:paraId="578476C8">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560" w:firstLineChars="200"/>
        <w:textAlignment w:val="auto"/>
        <w:rPr>
          <w:rFonts w:hint="default" w:ascii="仿宋_GB2312" w:hAnsi="仿宋_GB2312" w:eastAsia="仿宋_GB2312" w:cs="仿宋_GB2312"/>
          <w:sz w:val="24"/>
          <w:szCs w:val="24"/>
          <w:lang w:val="en-US" w:eastAsia="zh-CN"/>
        </w:rPr>
      </w:pPr>
      <w:r>
        <w:rPr>
          <w:rFonts w:hint="eastAsia" w:ascii="黑体" w:hAnsi="黑体" w:eastAsia="黑体" w:cs="黑体"/>
          <w:b w:val="0"/>
          <w:bCs w:val="0"/>
          <w:sz w:val="28"/>
          <w:szCs w:val="28"/>
          <w:lang w:val="en-US" w:eastAsia="zh-CN"/>
        </w:rPr>
        <w:t>一、服务事项</w:t>
      </w:r>
    </w:p>
    <w:p w14:paraId="341FC3BD">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482" w:firstLineChars="200"/>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1、项目概况：</w:t>
      </w:r>
      <w:r>
        <w:rPr>
          <w:rFonts w:hint="eastAsia" w:ascii="仿宋_GB2312" w:hAnsi="仿宋_GB2312" w:eastAsia="仿宋_GB2312" w:cs="仿宋_GB2312"/>
          <w:b w:val="0"/>
          <w:bCs w:val="0"/>
          <w:sz w:val="24"/>
          <w:szCs w:val="24"/>
          <w:lang w:val="en-US" w:eastAsia="zh-CN"/>
        </w:rPr>
        <w:t>甲方旗下景区2025年新年美陈</w:t>
      </w:r>
    </w:p>
    <w:p w14:paraId="07B96C76">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482" w:firstLineChars="20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bCs/>
          <w:sz w:val="24"/>
          <w:szCs w:val="24"/>
          <w:lang w:val="en-US" w:eastAsia="zh-CN"/>
        </w:rPr>
        <w:t>2、服务地点：</w:t>
      </w:r>
      <w:r>
        <w:rPr>
          <w:rFonts w:hint="eastAsia" w:ascii="仿宋_GB2312" w:hAnsi="仿宋_GB2312" w:eastAsia="仿宋_GB2312" w:cs="仿宋_GB2312"/>
          <w:b w:val="0"/>
          <w:bCs w:val="0"/>
          <w:sz w:val="24"/>
          <w:szCs w:val="24"/>
          <w:lang w:val="en-US" w:eastAsia="zh-CN"/>
        </w:rPr>
        <w:t>三河古镇、紫蓬山、小井庄等，具体根据甲方要求。</w:t>
      </w:r>
    </w:p>
    <w:p w14:paraId="14DDF825">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482" w:firstLineChars="200"/>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3、项目要求：</w:t>
      </w:r>
    </w:p>
    <w:p w14:paraId="2D4E9E13">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3.1要求：</w:t>
      </w:r>
      <w:r>
        <w:rPr>
          <w:rFonts w:hint="eastAsia" w:ascii="仿宋_GB2312" w:hAnsi="仿宋_GB2312" w:eastAsia="仿宋_GB2312" w:cs="仿宋_GB2312"/>
          <w:b w:val="0"/>
          <w:bCs w:val="0"/>
          <w:sz w:val="24"/>
          <w:szCs w:val="24"/>
          <w:lang w:val="en-US" w:eastAsia="zh-CN"/>
        </w:rPr>
        <w:t>三河古镇等景区春节主题美陈和氛围物料的制作、安装和维护，具体详见附页。</w:t>
      </w:r>
      <w:r>
        <w:rPr>
          <w:rFonts w:hint="eastAsia" w:ascii="仿宋_GB2312" w:hAnsi="仿宋_GB2312" w:eastAsia="仿宋_GB2312" w:cs="仿宋_GB2312"/>
          <w:sz w:val="24"/>
          <w:szCs w:val="24"/>
          <w:lang w:val="en-US" w:eastAsia="zh-CN"/>
        </w:rPr>
        <w:t>规格款式要求不得低于清单要求，最终以甲方确认为准。</w:t>
      </w:r>
    </w:p>
    <w:p w14:paraId="05C0440B">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3.2知识产权：</w:t>
      </w:r>
      <w:r>
        <w:rPr>
          <w:rFonts w:hint="eastAsia" w:ascii="仿宋_GB2312" w:hAnsi="仿宋_GB2312" w:eastAsia="仿宋_GB2312" w:cs="仿宋_GB2312"/>
          <w:sz w:val="24"/>
          <w:szCs w:val="24"/>
          <w:lang w:val="en-US" w:eastAsia="zh-CN"/>
        </w:rPr>
        <w:t>（1）乙方应保证其提供的货物或服务不受任何第三方提出的侵犯其著作权、商标权、专利权等知识产权方面的起诉；如果任何第三方提出侵权指控，那么乙方须与该第三方交涉并承担由此发生的一切责任、费用和赔偿；（2）本项目乙方所提供的与工作成果相关的所有视频、图片、音频、文字、服务成果等的知识产权及使用权归甲方所有。</w:t>
      </w:r>
    </w:p>
    <w:p w14:paraId="5EC91335">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3.3货物品质要求：</w:t>
      </w:r>
      <w:r>
        <w:rPr>
          <w:rFonts w:hint="eastAsia" w:ascii="仿宋_GB2312" w:hAnsi="仿宋_GB2312" w:eastAsia="仿宋_GB2312" w:cs="仿宋_GB2312"/>
          <w:sz w:val="24"/>
          <w:szCs w:val="24"/>
          <w:lang w:val="en-US" w:eastAsia="zh-CN"/>
        </w:rPr>
        <w:t>甲方对货物质量与品质（做工、用料等）有较高要求，乙方不得以次充好，不得提供粗制滥造货品，须确保货物品质。货物外在品质以甲方检视确定为准。</w:t>
      </w:r>
    </w:p>
    <w:p w14:paraId="091BF4F7">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3.4工期：</w:t>
      </w:r>
      <w:r>
        <w:rPr>
          <w:rFonts w:hint="eastAsia" w:ascii="仿宋_GB2312" w:hAnsi="仿宋_GB2312" w:eastAsia="仿宋_GB2312" w:cs="仿宋_GB2312"/>
          <w:b w:val="0"/>
          <w:bCs w:val="0"/>
          <w:sz w:val="24"/>
          <w:szCs w:val="24"/>
          <w:highlight w:val="yellow"/>
          <w:lang w:val="en-US" w:eastAsia="zh-CN"/>
        </w:rPr>
        <w:t>项目中标后3天内提供完善的服务方案并得到甲方确认，其后30天内完成所有内容落地，</w:t>
      </w:r>
      <w:r>
        <w:rPr>
          <w:rFonts w:hint="eastAsia" w:ascii="仿宋_GB2312" w:hAnsi="仿宋_GB2312" w:eastAsia="仿宋_GB2312" w:cs="仿宋_GB2312"/>
          <w:sz w:val="24"/>
          <w:szCs w:val="24"/>
          <w:lang w:val="en-US" w:eastAsia="zh-CN"/>
        </w:rPr>
        <w:t>乙方须确保供货时效，因乙方责任导致的供货延期，除不可抗力外，如果乙方没有按照附件要求的期限、地点和方式交付货物，甲方可终止合同，且乙方需支付违约金2万元，乙方无权追责，违约金不足以弥补甲方损失的，甲方有权继续追偿。</w:t>
      </w:r>
    </w:p>
    <w:p w14:paraId="310F1952">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质保期要求：项目验收后2-10个月，详见产品清单。</w:t>
      </w:r>
    </w:p>
    <w:p w14:paraId="1F07EC5F">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482" w:firstLineChars="20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bCs/>
          <w:sz w:val="24"/>
          <w:szCs w:val="24"/>
          <w:lang w:val="en-US" w:eastAsia="zh-CN"/>
        </w:rPr>
        <w:t>4、验收：</w:t>
      </w:r>
      <w:r>
        <w:rPr>
          <w:rFonts w:hint="eastAsia" w:ascii="仿宋_GB2312" w:hAnsi="仿宋_GB2312" w:eastAsia="仿宋_GB2312" w:cs="仿宋_GB2312"/>
          <w:sz w:val="24"/>
          <w:szCs w:val="24"/>
          <w:lang w:val="en-US" w:eastAsia="zh-CN"/>
        </w:rPr>
        <w:t>项目服务完成，乙方应及时通知甲方对服务成果进行验收。</w:t>
      </w:r>
    </w:p>
    <w:p w14:paraId="67DD98F9">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二、合同价款及付款方式</w:t>
      </w:r>
    </w:p>
    <w:p w14:paraId="4F5CEF6D">
      <w:pPr>
        <w:keepNext w:val="0"/>
        <w:keepLines w:val="0"/>
        <w:pageBreakBefore w:val="0"/>
        <w:widowControl w:val="0"/>
        <w:kinsoku/>
        <w:wordWrap/>
        <w:overflowPunct/>
        <w:topLinePunct w:val="0"/>
        <w:autoSpaceDE/>
        <w:autoSpaceDN/>
        <w:bidi w:val="0"/>
        <w:adjustRightInd/>
        <w:snapToGrid w:val="0"/>
        <w:spacing w:line="240" w:lineRule="auto"/>
        <w:ind w:firstLine="482" w:firstLineChars="200"/>
        <w:jc w:val="left"/>
        <w:textAlignment w:val="auto"/>
        <w:rPr>
          <w:rFonts w:hint="eastAsia" w:ascii="黑体" w:hAnsi="黑体" w:eastAsia="黑体" w:cs="黑体"/>
          <w:b/>
          <w:bCs/>
          <w:sz w:val="28"/>
          <w:szCs w:val="28"/>
          <w:lang w:val="en-US" w:eastAsia="zh-CN"/>
        </w:rPr>
      </w:pPr>
      <w:r>
        <w:rPr>
          <w:rFonts w:hint="eastAsia" w:ascii="仿宋_GB2312" w:hAnsi="仿宋_GB2312" w:eastAsia="仿宋_GB2312" w:cs="仿宋_GB2312"/>
          <w:b/>
          <w:bCs/>
          <w:sz w:val="24"/>
          <w:szCs w:val="24"/>
          <w:lang w:val="en-US" w:eastAsia="zh-CN"/>
        </w:rPr>
        <w:t>1、合同总价</w:t>
      </w:r>
    </w:p>
    <w:p w14:paraId="626916A4">
      <w:pPr>
        <w:keepNext w:val="0"/>
        <w:keepLines w:val="0"/>
        <w:pageBreakBefore w:val="0"/>
        <w:widowControl w:val="0"/>
        <w:kinsoku/>
        <w:wordWrap/>
        <w:overflowPunct/>
        <w:topLinePunct w:val="0"/>
        <w:autoSpaceDE/>
        <w:autoSpaceDN/>
        <w:bidi w:val="0"/>
        <w:adjustRightInd/>
        <w:snapToGrid w:val="0"/>
        <w:spacing w:line="24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本次活动费用含税共计</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val="en-US" w:eastAsia="zh-CN"/>
        </w:rPr>
        <w:t>元（大写 ：         ）。乙方出具项目服务方案经甲方认可后支付合同总价的30%，计人民币￥</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val="en-US" w:eastAsia="zh-CN"/>
        </w:rPr>
        <w:t>元（大写 ：         ）。项目执行完毕，经甲方验收合格后支付至合同总价的65%，余款待项目所有内容质保期满后无息付清。每次付款以收到乙方符合规定的等额增值税专用发票为必要条件。</w:t>
      </w:r>
    </w:p>
    <w:p w14:paraId="50A68F08">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2、账户信息</w:t>
      </w:r>
    </w:p>
    <w:p w14:paraId="4BD1210E">
      <w:pPr>
        <w:keepNext w:val="0"/>
        <w:keepLines w:val="0"/>
        <w:pageBreakBefore w:val="0"/>
        <w:widowControl w:val="0"/>
        <w:kinsoku/>
        <w:wordWrap/>
        <w:overflowPunct/>
        <w:topLinePunct w:val="0"/>
        <w:autoSpaceDE/>
        <w:autoSpaceDN/>
        <w:bidi w:val="0"/>
        <w:adjustRightInd/>
        <w:snapToGrid w:val="0"/>
        <w:spacing w:line="240" w:lineRule="auto"/>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甲方开票信息：</w:t>
      </w:r>
    </w:p>
    <w:p w14:paraId="2291C584">
      <w:pPr>
        <w:keepNext w:val="0"/>
        <w:keepLines w:val="0"/>
        <w:pageBreakBefore w:val="0"/>
        <w:widowControl w:val="0"/>
        <w:kinsoku/>
        <w:wordWrap/>
        <w:overflowPunct/>
        <w:topLinePunct w:val="0"/>
        <w:autoSpaceDE/>
        <w:autoSpaceDN/>
        <w:bidi w:val="0"/>
        <w:adjustRightInd/>
        <w:snapToGrid w:val="0"/>
        <w:spacing w:line="24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账户名：肥西县三河文旅发展有限公司</w:t>
      </w:r>
    </w:p>
    <w:p w14:paraId="03370827">
      <w:pPr>
        <w:keepNext w:val="0"/>
        <w:keepLines w:val="0"/>
        <w:pageBreakBefore w:val="0"/>
        <w:widowControl w:val="0"/>
        <w:kinsoku/>
        <w:wordWrap/>
        <w:overflowPunct/>
        <w:topLinePunct w:val="0"/>
        <w:autoSpaceDE/>
        <w:autoSpaceDN/>
        <w:bidi w:val="0"/>
        <w:adjustRightInd/>
        <w:snapToGrid w:val="0"/>
        <w:spacing w:line="24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账  号：中国农业银行股份有限公司肥西三河支行</w:t>
      </w:r>
    </w:p>
    <w:p w14:paraId="7C382C4C">
      <w:pPr>
        <w:keepNext w:val="0"/>
        <w:keepLines w:val="0"/>
        <w:pageBreakBefore w:val="0"/>
        <w:widowControl w:val="0"/>
        <w:kinsoku/>
        <w:wordWrap/>
        <w:overflowPunct/>
        <w:topLinePunct w:val="0"/>
        <w:autoSpaceDE/>
        <w:autoSpaceDN/>
        <w:bidi w:val="0"/>
        <w:adjustRightInd/>
        <w:snapToGrid w:val="0"/>
        <w:spacing w:line="24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开户行：12283201040008510</w:t>
      </w:r>
    </w:p>
    <w:p w14:paraId="1D427164">
      <w:pPr>
        <w:keepNext w:val="0"/>
        <w:keepLines w:val="0"/>
        <w:pageBreakBefore w:val="0"/>
        <w:widowControl w:val="0"/>
        <w:kinsoku/>
        <w:wordWrap/>
        <w:overflowPunct/>
        <w:topLinePunct w:val="0"/>
        <w:autoSpaceDE/>
        <w:autoSpaceDN/>
        <w:bidi w:val="0"/>
        <w:adjustRightInd/>
        <w:snapToGrid w:val="0"/>
        <w:spacing w:line="24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乙方收款账号信息： </w:t>
      </w:r>
    </w:p>
    <w:p w14:paraId="2BC84091">
      <w:pPr>
        <w:keepNext w:val="0"/>
        <w:keepLines w:val="0"/>
        <w:pageBreakBefore w:val="0"/>
        <w:widowControl w:val="0"/>
        <w:kinsoku/>
        <w:wordWrap/>
        <w:overflowPunct/>
        <w:topLinePunct w:val="0"/>
        <w:autoSpaceDE/>
        <w:autoSpaceDN/>
        <w:bidi w:val="0"/>
        <w:adjustRightInd/>
        <w:snapToGrid w:val="0"/>
        <w:spacing w:line="24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账户名：     </w:t>
      </w:r>
    </w:p>
    <w:p w14:paraId="163E7DC1">
      <w:pPr>
        <w:keepNext w:val="0"/>
        <w:keepLines w:val="0"/>
        <w:pageBreakBefore w:val="0"/>
        <w:widowControl w:val="0"/>
        <w:kinsoku/>
        <w:wordWrap/>
        <w:overflowPunct/>
        <w:topLinePunct w:val="0"/>
        <w:autoSpaceDE/>
        <w:autoSpaceDN/>
        <w:bidi w:val="0"/>
        <w:adjustRightInd/>
        <w:snapToGrid w:val="0"/>
        <w:spacing w:line="24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账  号：                    </w:t>
      </w:r>
    </w:p>
    <w:p w14:paraId="44FDE133">
      <w:pPr>
        <w:keepNext w:val="0"/>
        <w:keepLines w:val="0"/>
        <w:pageBreakBefore w:val="0"/>
        <w:widowControl w:val="0"/>
        <w:kinsoku/>
        <w:wordWrap/>
        <w:overflowPunct/>
        <w:topLinePunct w:val="0"/>
        <w:autoSpaceDE/>
        <w:autoSpaceDN/>
        <w:bidi w:val="0"/>
        <w:adjustRightInd/>
        <w:snapToGrid w:val="0"/>
        <w:spacing w:line="24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开户行：</w:t>
      </w:r>
    </w:p>
    <w:p w14:paraId="41CA0643">
      <w:pPr>
        <w:keepNext w:val="0"/>
        <w:keepLines w:val="0"/>
        <w:pageBreakBefore w:val="0"/>
        <w:widowControl w:val="0"/>
        <w:kinsoku/>
        <w:wordWrap/>
        <w:overflowPunct/>
        <w:topLinePunct w:val="0"/>
        <w:autoSpaceDE/>
        <w:autoSpaceDN/>
        <w:bidi w:val="0"/>
        <w:adjustRightInd/>
        <w:snapToGrid w:val="0"/>
        <w:spacing w:line="240" w:lineRule="auto"/>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有效联系地址：</w:t>
      </w:r>
    </w:p>
    <w:p w14:paraId="782C178E">
      <w:pPr>
        <w:keepNext w:val="0"/>
        <w:keepLines w:val="0"/>
        <w:pageBreakBefore w:val="0"/>
        <w:widowControl w:val="0"/>
        <w:kinsoku/>
        <w:wordWrap/>
        <w:overflowPunct/>
        <w:topLinePunct w:val="0"/>
        <w:autoSpaceDE/>
        <w:autoSpaceDN/>
        <w:bidi w:val="0"/>
        <w:adjustRightInd/>
        <w:snapToGrid w:val="0"/>
        <w:spacing w:line="24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联系人及联系方式：</w:t>
      </w:r>
    </w:p>
    <w:p w14:paraId="18CA4CF6">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3、</w:t>
      </w:r>
      <w:r>
        <w:rPr>
          <w:rFonts w:hint="eastAsia" w:ascii="仿宋_GB2312" w:hAnsi="仿宋_GB2312" w:eastAsia="仿宋_GB2312" w:cs="仿宋_GB2312"/>
          <w:sz w:val="24"/>
          <w:szCs w:val="24"/>
          <w:lang w:val="en-US" w:eastAsia="zh-CN"/>
        </w:rPr>
        <w:t>项目最终制作产品以甲方确认为准，</w:t>
      </w:r>
      <w:r>
        <w:rPr>
          <w:rFonts w:hint="default" w:ascii="仿宋_GB2312" w:hAnsi="仿宋_GB2312" w:eastAsia="仿宋_GB2312" w:cs="仿宋_GB2312"/>
          <w:sz w:val="24"/>
          <w:szCs w:val="24"/>
          <w:lang w:val="en-US" w:eastAsia="zh-CN"/>
        </w:rPr>
        <w:t>因甲方的需要增加</w:t>
      </w:r>
      <w:r>
        <w:rPr>
          <w:rFonts w:hint="eastAsia" w:ascii="仿宋_GB2312" w:hAnsi="仿宋_GB2312" w:eastAsia="仿宋_GB2312" w:cs="仿宋_GB2312"/>
          <w:sz w:val="24"/>
          <w:szCs w:val="24"/>
          <w:lang w:val="en-US" w:eastAsia="zh-CN"/>
        </w:rPr>
        <w:t>、</w:t>
      </w:r>
      <w:r>
        <w:rPr>
          <w:rFonts w:hint="default" w:ascii="仿宋_GB2312" w:hAnsi="仿宋_GB2312" w:eastAsia="仿宋_GB2312" w:cs="仿宋_GB2312"/>
          <w:sz w:val="24"/>
          <w:szCs w:val="24"/>
          <w:lang w:val="en-US" w:eastAsia="zh-CN"/>
        </w:rPr>
        <w:t>更改</w:t>
      </w:r>
      <w:r>
        <w:rPr>
          <w:rFonts w:hint="eastAsia" w:ascii="仿宋_GB2312" w:hAnsi="仿宋_GB2312" w:eastAsia="仿宋_GB2312" w:cs="仿宋_GB2312"/>
          <w:sz w:val="24"/>
          <w:szCs w:val="24"/>
          <w:lang w:val="en-US" w:eastAsia="zh-CN"/>
        </w:rPr>
        <w:t>或删减的</w:t>
      </w:r>
      <w:r>
        <w:rPr>
          <w:rFonts w:hint="default" w:ascii="仿宋_GB2312" w:hAnsi="仿宋_GB2312" w:eastAsia="仿宋_GB2312" w:cs="仿宋_GB2312"/>
          <w:sz w:val="24"/>
          <w:szCs w:val="24"/>
          <w:lang w:val="en-US" w:eastAsia="zh-CN"/>
        </w:rPr>
        <w:t>，由甲、乙双方主要负责人书面进行确认，最终费用按书面确认单为准。</w:t>
      </w:r>
    </w:p>
    <w:p w14:paraId="3E7D2638">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4、</w:t>
      </w:r>
      <w:r>
        <w:rPr>
          <w:rFonts w:hint="default" w:ascii="仿宋_GB2312" w:hAnsi="仿宋_GB2312" w:eastAsia="仿宋_GB2312" w:cs="仿宋_GB2312"/>
          <w:sz w:val="24"/>
          <w:szCs w:val="24"/>
          <w:lang w:val="en-US" w:eastAsia="zh-CN"/>
        </w:rPr>
        <w:t>甲方付款前，乙方应开具等额合法的增值税专用发票。乙方开具发票不视为已收到甲方付款。</w:t>
      </w:r>
    </w:p>
    <w:p w14:paraId="1F404C7A">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560" w:firstLineChars="200"/>
        <w:textAlignment w:val="auto"/>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三、双方权力与义务</w:t>
      </w:r>
    </w:p>
    <w:p w14:paraId="78D1328F">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1、甲方权利义务</w:t>
      </w:r>
    </w:p>
    <w:p w14:paraId="022E37D2">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1.1</w:t>
      </w:r>
      <w:r>
        <w:rPr>
          <w:rFonts w:hint="eastAsia" w:ascii="仿宋_GB2312" w:hAnsi="仿宋_GB2312" w:eastAsia="仿宋_GB2312" w:cs="仿宋_GB2312"/>
          <w:sz w:val="24"/>
          <w:szCs w:val="24"/>
          <w:lang w:val="en-US" w:eastAsia="zh-CN"/>
        </w:rPr>
        <w:t>甲方应及时向乙方提供全面的相关资料及证件确保乙方按约提供服务，如果因乙方原因导致项目不能按期执行，责任由乙方自行承担。</w:t>
      </w:r>
    </w:p>
    <w:p w14:paraId="5D591CDB">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1.2</w:t>
      </w:r>
      <w:r>
        <w:rPr>
          <w:rFonts w:hint="eastAsia" w:ascii="仿宋_GB2312" w:hAnsi="仿宋_GB2312" w:eastAsia="仿宋_GB2312" w:cs="仿宋_GB2312"/>
          <w:sz w:val="24"/>
          <w:szCs w:val="24"/>
          <w:lang w:val="en-US" w:eastAsia="zh-CN"/>
        </w:rPr>
        <w:t>甲方有权对乙方的工作内容及工作质量进行监督和指导，并对重大问题有权要求乙方进行更改。</w:t>
      </w:r>
    </w:p>
    <w:p w14:paraId="661AFCFF">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1.3</w:t>
      </w:r>
      <w:r>
        <w:rPr>
          <w:rFonts w:hint="eastAsia" w:ascii="仿宋_GB2312" w:hAnsi="仿宋_GB2312" w:eastAsia="仿宋_GB2312" w:cs="仿宋_GB2312"/>
          <w:sz w:val="24"/>
          <w:szCs w:val="24"/>
          <w:lang w:val="en-US" w:eastAsia="zh-CN"/>
        </w:rPr>
        <w:t>甲方应按约完成工作职责并提供约定的场地，否则，因此导致项目无法正常开展或未能达到预期效果的损失，由甲方自行承担。</w:t>
      </w:r>
    </w:p>
    <w:p w14:paraId="25E1D2AD">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default"/>
          <w:lang w:val="en-US" w:eastAsia="zh-CN"/>
        </w:rPr>
      </w:pPr>
      <w:r>
        <w:rPr>
          <w:rFonts w:hint="eastAsia" w:ascii="仿宋_GB2312" w:hAnsi="仿宋_GB2312" w:eastAsia="仿宋_GB2312" w:cs="仿宋_GB2312"/>
          <w:b/>
          <w:bCs/>
          <w:kern w:val="2"/>
          <w:sz w:val="24"/>
          <w:szCs w:val="24"/>
          <w:lang w:val="en-US" w:eastAsia="zh-CN" w:bidi="ar-SA"/>
        </w:rPr>
        <w:t>1.4</w:t>
      </w:r>
      <w:r>
        <w:rPr>
          <w:rFonts w:hint="eastAsia" w:ascii="仿宋_GB2312" w:hAnsi="仿宋_GB2312" w:eastAsia="仿宋_GB2312" w:cs="仿宋_GB2312"/>
          <w:b w:val="0"/>
          <w:bCs w:val="0"/>
          <w:kern w:val="2"/>
          <w:sz w:val="24"/>
          <w:szCs w:val="24"/>
          <w:lang w:val="en-US" w:eastAsia="zh-CN" w:bidi="ar-SA"/>
        </w:rPr>
        <w:t>若最终深化方案未能通过甲方审核，甲方有权单方面解除合同，且无需承担违约责任，同时有权要求乙方退还已支付的相关款项，并赔偿甲方因此遭受的全部损失。</w:t>
      </w:r>
    </w:p>
    <w:p w14:paraId="33E17EF8">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2、乙方权利义务</w:t>
      </w:r>
    </w:p>
    <w:p w14:paraId="6FAF62BC">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2.1</w:t>
      </w:r>
      <w:r>
        <w:rPr>
          <w:rFonts w:hint="eastAsia" w:ascii="仿宋_GB2312" w:hAnsi="仿宋_GB2312" w:eastAsia="仿宋_GB2312" w:cs="仿宋_GB2312"/>
          <w:sz w:val="24"/>
          <w:szCs w:val="24"/>
          <w:lang w:val="en-US" w:eastAsia="zh-CN"/>
        </w:rPr>
        <w:t>乙方保证其具备项目执行的资质和施工人员资质，有能力承担本合同工作内容，因为物料质量问题产生的责任由乙方承担。</w:t>
      </w:r>
    </w:p>
    <w:p w14:paraId="7C72B4DC">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2.2</w:t>
      </w:r>
      <w:r>
        <w:rPr>
          <w:rFonts w:hint="eastAsia" w:ascii="仿宋_GB2312" w:hAnsi="仿宋_GB2312" w:eastAsia="仿宋_GB2312" w:cs="仿宋_GB2312"/>
          <w:sz w:val="24"/>
          <w:szCs w:val="24"/>
          <w:lang w:val="en-US" w:eastAsia="zh-CN"/>
        </w:rPr>
        <w:t>如遇现场场地与事先排查场地不符，乙方立即与甲方对接人沟通，向甲方说明情况，甲方对接人确认是否继续执行后，乙方方可操作。</w:t>
      </w:r>
    </w:p>
    <w:p w14:paraId="60164862">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2.3</w:t>
      </w:r>
      <w:r>
        <w:rPr>
          <w:rFonts w:hint="eastAsia" w:ascii="仿宋_GB2312" w:hAnsi="仿宋_GB2312" w:eastAsia="仿宋_GB2312" w:cs="仿宋_GB2312"/>
          <w:sz w:val="24"/>
          <w:szCs w:val="24"/>
          <w:lang w:val="en-US" w:eastAsia="zh-CN"/>
        </w:rPr>
        <w:t>乙方应在甲方确认后再进行生产制作，如若因乙方未经甲方确认私自生产制作产生的一切费用，甲方不予承担。</w:t>
      </w:r>
    </w:p>
    <w:p w14:paraId="22297FB3">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default"/>
          <w:lang w:val="en-US" w:eastAsia="zh-CN"/>
        </w:rPr>
      </w:pPr>
      <w:r>
        <w:rPr>
          <w:rFonts w:hint="eastAsia" w:ascii="仿宋_GB2312" w:hAnsi="仿宋_GB2312" w:eastAsia="仿宋_GB2312" w:cs="仿宋_GB2312"/>
          <w:b/>
          <w:bCs/>
          <w:sz w:val="24"/>
          <w:szCs w:val="24"/>
          <w:lang w:val="en-US" w:eastAsia="zh-CN"/>
        </w:rPr>
        <w:t>2.4</w:t>
      </w:r>
      <w:r>
        <w:rPr>
          <w:rFonts w:hint="eastAsia" w:ascii="仿宋_GB2312" w:hAnsi="仿宋_GB2312" w:eastAsia="仿宋_GB2312" w:cs="仿宋_GB2312"/>
          <w:sz w:val="24"/>
          <w:szCs w:val="24"/>
          <w:lang w:val="en-US" w:eastAsia="zh-CN"/>
        </w:rPr>
        <w:t>乙方在项目过程中积极维护甲方品牌形象且合同履行过程中若发生安全事故，责任由乙方自行承担。</w:t>
      </w:r>
    </w:p>
    <w:p w14:paraId="7238C7DC">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560" w:firstLineChars="200"/>
        <w:textAlignment w:val="auto"/>
        <w:rPr>
          <w:rFonts w:hint="eastAsia"/>
          <w:lang w:val="en-US" w:eastAsia="zh-CN"/>
        </w:rPr>
      </w:pPr>
      <w:r>
        <w:rPr>
          <w:rFonts w:hint="eastAsia" w:ascii="黑体" w:hAnsi="黑体" w:eastAsia="黑体" w:cs="黑体"/>
          <w:b w:val="0"/>
          <w:bCs w:val="0"/>
          <w:sz w:val="28"/>
          <w:szCs w:val="28"/>
          <w:lang w:val="en-US" w:eastAsia="zh-CN"/>
        </w:rPr>
        <w:t>四、违约责任及免责</w:t>
      </w:r>
    </w:p>
    <w:p w14:paraId="7BB555B2">
      <w:pPr>
        <w:pStyle w:val="2"/>
        <w:rPr>
          <w:rFonts w:hint="eastAsia" w:ascii="仿宋_GB2312" w:hAnsi="仿宋_GB2312" w:eastAsia="仿宋_GB2312" w:cs="仿宋_GB2312"/>
          <w:lang w:val="en-US" w:eastAsia="zh-CN"/>
        </w:rPr>
      </w:pPr>
      <w:r>
        <w:rPr>
          <w:rFonts w:hint="eastAsia" w:ascii="仿宋_GB2312" w:hAnsi="仿宋_GB2312" w:eastAsia="仿宋_GB2312" w:cs="仿宋_GB2312"/>
          <w:b/>
          <w:bCs/>
          <w:lang w:val="en-US" w:eastAsia="zh-CN"/>
        </w:rPr>
        <w:t>1、</w:t>
      </w:r>
      <w:r>
        <w:rPr>
          <w:rFonts w:hint="eastAsia" w:ascii="仿宋_GB2312" w:hAnsi="仿宋_GB2312" w:eastAsia="仿宋_GB2312" w:cs="仿宋_GB2312"/>
          <w:lang w:val="en-US" w:eastAsia="zh-CN"/>
        </w:rPr>
        <w:t>甲方应该按照约定的付款方式支付乙方费用，否则应承担违约责任。</w:t>
      </w:r>
    </w:p>
    <w:p w14:paraId="482C4AF0">
      <w:pPr>
        <w:pStyle w:val="2"/>
        <w:rPr>
          <w:rFonts w:hint="eastAsia" w:ascii="仿宋_GB2312" w:hAnsi="仿宋_GB2312" w:eastAsia="仿宋_GB2312" w:cs="仿宋_GB2312"/>
          <w:lang w:val="en-US" w:eastAsia="zh-CN"/>
        </w:rPr>
      </w:pPr>
      <w:r>
        <w:rPr>
          <w:rFonts w:hint="eastAsia" w:ascii="仿宋_GB2312" w:hAnsi="仿宋_GB2312" w:eastAsia="仿宋_GB2312" w:cs="仿宋_GB2312"/>
          <w:b/>
          <w:bCs/>
          <w:lang w:val="en-US" w:eastAsia="zh-CN"/>
        </w:rPr>
        <w:t>2、</w:t>
      </w:r>
      <w:r>
        <w:rPr>
          <w:rFonts w:hint="eastAsia" w:ascii="仿宋_GB2312" w:hAnsi="仿宋_GB2312" w:eastAsia="仿宋_GB2312" w:cs="仿宋_GB2312"/>
          <w:lang w:val="en-US" w:eastAsia="zh-CN"/>
        </w:rPr>
        <w:t>因国家政策或政治原因致使本合同不能履行或不能完全履行时，双方均不承担法律责任，但双方有通知义务和协助义务，待不利原因消除后另签补充协议。</w:t>
      </w:r>
    </w:p>
    <w:p w14:paraId="1956BF10">
      <w:pPr>
        <w:pStyle w:val="2"/>
        <w:rPr>
          <w:rFonts w:hint="eastAsia" w:ascii="仿宋_GB2312" w:hAnsi="仿宋_GB2312" w:eastAsia="仿宋_GB2312" w:cs="仿宋_GB2312"/>
          <w:lang w:val="en-US" w:eastAsia="zh-CN"/>
        </w:rPr>
      </w:pPr>
      <w:r>
        <w:rPr>
          <w:rFonts w:hint="eastAsia" w:ascii="仿宋_GB2312" w:hAnsi="仿宋_GB2312" w:eastAsia="仿宋_GB2312" w:cs="仿宋_GB2312"/>
          <w:b/>
          <w:bCs/>
          <w:lang w:val="en-US" w:eastAsia="zh-CN"/>
        </w:rPr>
        <w:t>3、</w:t>
      </w:r>
      <w:r>
        <w:rPr>
          <w:rFonts w:hint="eastAsia" w:ascii="仿宋_GB2312" w:hAnsi="仿宋_GB2312" w:eastAsia="仿宋_GB2312" w:cs="仿宋_GB2312"/>
          <w:lang w:val="en-US" w:eastAsia="zh-CN"/>
        </w:rPr>
        <w:t>不可抗力因素：因水灾，火灾，地震，疫情等或其他不可抗因素致使本合同不能履行或不能完全履行时，双方均不承担法律责任，但双方应在相互信任的基础上协商解决。</w:t>
      </w:r>
    </w:p>
    <w:p w14:paraId="01E2A36A">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560" w:firstLineChars="200"/>
        <w:textAlignment w:val="auto"/>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五、合同终止及废除</w:t>
      </w:r>
    </w:p>
    <w:p w14:paraId="2A6D341B">
      <w:pPr>
        <w:rPr>
          <w:rFonts w:hint="eastAsia"/>
          <w:lang w:val="en-US" w:eastAsia="zh-CN"/>
        </w:rPr>
      </w:pPr>
    </w:p>
    <w:p w14:paraId="3E992E48">
      <w:pPr>
        <w:pStyle w:val="2"/>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1、在履行合同期间，如果国家有关政策发生变化、有关主管部门明令禁止，本合同自动中止或终止，双方据实结算相关费用。</w:t>
      </w:r>
    </w:p>
    <w:p w14:paraId="742A2872">
      <w:pPr>
        <w:pStyle w:val="2"/>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2、由于双方各自原因而终止本合同，双方应及时协商解决；如无法达成一致，按照如下规定执行：</w:t>
      </w:r>
    </w:p>
    <w:p w14:paraId="4E09FC0D">
      <w:pPr>
        <w:pStyle w:val="2"/>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2.1在合同履行过程中，如果甲方因自身原因而要求乙方终止合同，甲方应及时书面通知乙方，并根据乙方实际发生的工作量</w:t>
      </w:r>
      <w:bookmarkStart w:id="0" w:name="_GoBack"/>
      <w:bookmarkEnd w:id="0"/>
      <w:r>
        <w:rPr>
          <w:rFonts w:hint="eastAsia" w:ascii="仿宋_GB2312" w:hAnsi="仿宋_GB2312" w:eastAsia="仿宋_GB2312" w:cs="仿宋_GB2312"/>
          <w:lang w:val="en-US" w:eastAsia="zh-CN"/>
        </w:rPr>
        <w:t>结算费用。</w:t>
      </w:r>
    </w:p>
    <w:p w14:paraId="2A474252">
      <w:pPr>
        <w:pStyle w:val="2"/>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2.2在合同履行过程中，如果乙方提出提前终止本合同，乙方应退还该阶段已收取未实际履行部分的服务费用，且支付本合同总价款30%的违约金。</w:t>
      </w:r>
    </w:p>
    <w:p w14:paraId="771DB8E9">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560" w:firstLineChars="2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六、保密条款</w:t>
      </w:r>
    </w:p>
    <w:p w14:paraId="5E763577">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1、</w:t>
      </w:r>
      <w:r>
        <w:rPr>
          <w:rFonts w:hint="eastAsia" w:ascii="仿宋_GB2312" w:hAnsi="仿宋_GB2312" w:eastAsia="仿宋_GB2312" w:cs="仿宋_GB2312"/>
          <w:sz w:val="24"/>
          <w:szCs w:val="24"/>
          <w:lang w:val="en-US" w:eastAsia="zh-CN"/>
        </w:rPr>
        <w:t>双方对因签署或者履行本合同而获悉之对方的一切业务信息和资料均应严格保密。</w:t>
      </w:r>
    </w:p>
    <w:p w14:paraId="1C8B692E">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2、</w:t>
      </w:r>
      <w:r>
        <w:rPr>
          <w:rFonts w:hint="eastAsia" w:ascii="仿宋_GB2312" w:hAnsi="仿宋_GB2312" w:eastAsia="仿宋_GB2312" w:cs="仿宋_GB2312"/>
          <w:sz w:val="24"/>
          <w:szCs w:val="24"/>
          <w:lang w:val="en-US" w:eastAsia="zh-CN"/>
        </w:rPr>
        <w:t>非经书面同意，双方均不得以任何形式向任何第三方泄漏本合同约定之保密信息。</w:t>
      </w:r>
    </w:p>
    <w:p w14:paraId="478F7982">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3、</w:t>
      </w:r>
      <w:r>
        <w:rPr>
          <w:rFonts w:hint="eastAsia" w:ascii="仿宋_GB2312" w:hAnsi="仿宋_GB2312" w:eastAsia="仿宋_GB2312" w:cs="仿宋_GB2312"/>
          <w:sz w:val="24"/>
          <w:szCs w:val="24"/>
          <w:lang w:val="en-US" w:eastAsia="zh-CN"/>
        </w:rPr>
        <w:t>本协议终止后，双方在本协议的保密义务并不随之终止。</w:t>
      </w:r>
    </w:p>
    <w:p w14:paraId="3CEFDEA4">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560" w:firstLineChars="2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七、违约和解约条款</w:t>
      </w:r>
    </w:p>
    <w:p w14:paraId="57B5C28D">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1、</w:t>
      </w:r>
      <w:r>
        <w:rPr>
          <w:rFonts w:hint="eastAsia" w:ascii="仿宋_GB2312" w:hAnsi="仿宋_GB2312" w:eastAsia="仿宋_GB2312" w:cs="仿宋_GB2312"/>
          <w:sz w:val="24"/>
          <w:szCs w:val="24"/>
          <w:lang w:val="en-US" w:eastAsia="zh-CN"/>
        </w:rPr>
        <w:t>经双方约定，双方当事人中一方未按本合同规定之情形履约，致使合同履行迟延、履行不符合约定或其它违约情形的，违约方应及时采取相关补救措施履行合同义务，如采取补救措施后仍存在合同履行不能或合同目的无法达到的情形，守约方有权单方终止本合同，并要求违约方承担违约责任和赔偿损失。</w:t>
      </w:r>
    </w:p>
    <w:p w14:paraId="63997211">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2、</w:t>
      </w:r>
      <w:r>
        <w:rPr>
          <w:rFonts w:hint="eastAsia" w:ascii="仿宋_GB2312" w:hAnsi="仿宋_GB2312" w:eastAsia="仿宋_GB2312" w:cs="仿宋_GB2312"/>
          <w:sz w:val="24"/>
          <w:szCs w:val="24"/>
          <w:lang w:val="en-US" w:eastAsia="zh-CN"/>
        </w:rPr>
        <w:t>合同履行期限届满，本合同自动终止。</w:t>
      </w:r>
    </w:p>
    <w:p w14:paraId="2BCFB368">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3、</w:t>
      </w:r>
      <w:r>
        <w:rPr>
          <w:rFonts w:hint="eastAsia" w:ascii="仿宋_GB2312" w:hAnsi="仿宋_GB2312" w:eastAsia="仿宋_GB2312" w:cs="仿宋_GB2312"/>
          <w:sz w:val="24"/>
          <w:szCs w:val="24"/>
          <w:lang w:val="en-US" w:eastAsia="zh-CN"/>
        </w:rPr>
        <w:t>除经甲方同意外，如乙方在本项目约定工期内未完成所有美陈装置落地，可视为乙方根本违约，甲方可终止合同，且乙方需支付违约金2万元，乙方无权追责。</w:t>
      </w:r>
    </w:p>
    <w:p w14:paraId="575E13FA">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560" w:firstLineChars="2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八、不可抗力和免责条款</w:t>
      </w:r>
    </w:p>
    <w:p w14:paraId="2F62F3AB">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1、</w:t>
      </w:r>
      <w:r>
        <w:rPr>
          <w:rFonts w:hint="eastAsia" w:ascii="仿宋_GB2312" w:hAnsi="仿宋_GB2312" w:eastAsia="仿宋_GB2312" w:cs="仿宋_GB2312"/>
          <w:sz w:val="24"/>
          <w:szCs w:val="24"/>
          <w:lang w:val="en-US" w:eastAsia="zh-CN"/>
        </w:rPr>
        <w:t>不可抗力事件是指在本合同签署后发生的、本合同签署时不能预见的、其发生与后果是无法避免或克服的、妨碍任何一方全部或部分履约的所有事件，包括自然灾害（如地震）、战争、恐怖行为、暴力事件或其它不可抗拒的事件，而引起项目进度的延误。</w:t>
      </w:r>
    </w:p>
    <w:p w14:paraId="7A45685D">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2、</w:t>
      </w:r>
      <w:r>
        <w:rPr>
          <w:rFonts w:hint="eastAsia" w:ascii="仿宋_GB2312" w:hAnsi="仿宋_GB2312" w:eastAsia="仿宋_GB2312" w:cs="仿宋_GB2312"/>
          <w:sz w:val="24"/>
          <w:szCs w:val="24"/>
          <w:lang w:val="en-US" w:eastAsia="zh-CN"/>
        </w:rPr>
        <w:t>因不可抗力产生的合同履行暂停、延迟，双方均不承担违约责任。</w:t>
      </w:r>
    </w:p>
    <w:p w14:paraId="21C4C8DA">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3、</w:t>
      </w:r>
      <w:r>
        <w:rPr>
          <w:rFonts w:hint="eastAsia" w:ascii="仿宋_GB2312" w:hAnsi="仿宋_GB2312" w:eastAsia="仿宋_GB2312" w:cs="仿宋_GB2312"/>
          <w:sz w:val="24"/>
          <w:szCs w:val="24"/>
          <w:lang w:val="en-US" w:eastAsia="zh-CN"/>
        </w:rPr>
        <w:t>发生不可抗力事件时，知情方应及时通知另一方。双方应合理地做出努力，克服不可抗力事件，减轻其影响。同时双方应立即协商，决定将合同延期执行或者解除合同。</w:t>
      </w:r>
    </w:p>
    <w:p w14:paraId="0349EB9B">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ind w:firstLine="560" w:firstLineChars="20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 xml:space="preserve">九、其它 </w:t>
      </w:r>
    </w:p>
    <w:p w14:paraId="4E57C556">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1、</w:t>
      </w:r>
      <w:r>
        <w:rPr>
          <w:rFonts w:hint="eastAsia" w:ascii="仿宋_GB2312" w:hAnsi="仿宋_GB2312" w:eastAsia="仿宋_GB2312" w:cs="仿宋_GB2312"/>
          <w:sz w:val="24"/>
          <w:szCs w:val="24"/>
          <w:lang w:val="en-US" w:eastAsia="zh-CN"/>
        </w:rPr>
        <w:t>本合同未尽事宜，双方可协商解决或根据实际情况签订补充协议，具有同等法律效力。</w:t>
      </w:r>
    </w:p>
    <w:p w14:paraId="7FB5DA9F">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2、</w:t>
      </w:r>
      <w:r>
        <w:rPr>
          <w:rFonts w:hint="eastAsia" w:ascii="仿宋_GB2312" w:hAnsi="仿宋_GB2312" w:eastAsia="仿宋_GB2312" w:cs="仿宋_GB2312"/>
          <w:sz w:val="24"/>
          <w:szCs w:val="24"/>
          <w:lang w:val="en-US" w:eastAsia="zh-CN"/>
        </w:rPr>
        <w:t>因履行本合同所发生的争议，甲、乙双方应友好协商解决。如协商解决不成的，任何一方均可向甲方所在地人民法院提起诉讼。</w:t>
      </w:r>
    </w:p>
    <w:p w14:paraId="5775EB1A">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3、</w:t>
      </w:r>
      <w:r>
        <w:rPr>
          <w:rFonts w:hint="eastAsia" w:ascii="仿宋_GB2312" w:hAnsi="仿宋_GB2312" w:eastAsia="仿宋_GB2312" w:cs="仿宋_GB2312"/>
          <w:sz w:val="24"/>
          <w:szCs w:val="24"/>
          <w:lang w:val="en-US" w:eastAsia="zh-CN"/>
        </w:rPr>
        <w:t>甲、乙方发送的通知凡涉及双方权利、义务的，应以书面形式通知。合同中所列甲、乙方的地址即为各方的收件地址。如若地址有更改，须自变更之日起一周内以书面形式通知对方。凡按各方最后地址送达的通知或其他有关文件均视为有效送达，如因地址有误造成相关文件无法送达由变更方承担全部责任。</w:t>
      </w:r>
    </w:p>
    <w:p w14:paraId="41853620">
      <w:pPr>
        <w:keepNext w:val="0"/>
        <w:keepLines w:val="0"/>
        <w:pageBreakBefore w:val="0"/>
        <w:widowControl w:val="0"/>
        <w:kinsoku/>
        <w:wordWrap/>
        <w:overflowPunct/>
        <w:topLinePunct w:val="0"/>
        <w:autoSpaceDE/>
        <w:autoSpaceDN/>
        <w:bidi w:val="0"/>
        <w:adjustRightInd/>
        <w:snapToGrid w:val="0"/>
        <w:spacing w:line="240" w:lineRule="auto"/>
        <w:ind w:firstLine="482" w:firstLineChars="200"/>
        <w:textAlignment w:val="auto"/>
        <w:rPr>
          <w:rFonts w:hint="eastAsia" w:ascii="仿宋" w:hAnsi="仿宋" w:eastAsia="仿宋" w:cs="仿宋"/>
          <w:sz w:val="24"/>
          <w:szCs w:val="24"/>
          <w:lang w:val="en-US" w:eastAsia="zh-CN"/>
        </w:rPr>
      </w:pPr>
      <w:r>
        <w:rPr>
          <w:rFonts w:hint="eastAsia" w:ascii="仿宋_GB2312" w:hAnsi="仿宋_GB2312" w:eastAsia="仿宋_GB2312" w:cs="仿宋_GB2312"/>
          <w:b/>
          <w:bCs/>
          <w:sz w:val="24"/>
          <w:szCs w:val="24"/>
          <w:lang w:val="en-US" w:eastAsia="zh-CN"/>
        </w:rPr>
        <w:t>4、</w:t>
      </w:r>
      <w:r>
        <w:rPr>
          <w:rFonts w:hint="eastAsia" w:ascii="仿宋_GB2312" w:hAnsi="仿宋_GB2312" w:eastAsia="仿宋_GB2312" w:cs="仿宋_GB2312"/>
          <w:sz w:val="24"/>
          <w:szCs w:val="24"/>
          <w:lang w:val="en-US" w:eastAsia="zh-CN"/>
        </w:rPr>
        <w:t>本合同壹式</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b/>
          <w:bCs/>
          <w:sz w:val="24"/>
          <w:szCs w:val="24"/>
          <w:u w:val="single"/>
          <w:lang w:val="en-US" w:eastAsia="zh-CN"/>
        </w:rPr>
        <w:t>五</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val="en-US" w:eastAsia="zh-CN"/>
        </w:rPr>
        <w:t>份，甲方执</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b/>
          <w:bCs/>
          <w:sz w:val="24"/>
          <w:szCs w:val="24"/>
          <w:u w:val="single"/>
          <w:lang w:val="en-US" w:eastAsia="zh-CN"/>
        </w:rPr>
        <w:t>四</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val="en-US" w:eastAsia="zh-CN"/>
        </w:rPr>
        <w:t>份，乙方执</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b/>
          <w:bCs/>
          <w:sz w:val="24"/>
          <w:szCs w:val="24"/>
          <w:u w:val="single"/>
          <w:lang w:val="en-US" w:eastAsia="zh-CN"/>
        </w:rPr>
        <w:t>壹</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lang w:val="en-US" w:eastAsia="zh-CN"/>
        </w:rPr>
        <w:t>份，均具同等法律效力，经双方代表签署盖章即行生效。</w:t>
      </w:r>
    </w:p>
    <w:p w14:paraId="78D5010A">
      <w:pPr>
        <w:keepNext w:val="0"/>
        <w:keepLines w:val="0"/>
        <w:pageBreakBefore w:val="0"/>
        <w:widowControl w:val="0"/>
        <w:kinsoku/>
        <w:wordWrap/>
        <w:overflowPunct/>
        <w:topLinePunct w:val="0"/>
        <w:autoSpaceDE/>
        <w:autoSpaceDN/>
        <w:bidi w:val="0"/>
        <w:adjustRightInd/>
        <w:snapToGrid w:val="0"/>
        <w:spacing w:line="240" w:lineRule="auto"/>
        <w:ind w:firstLine="560" w:firstLineChars="200"/>
        <w:textAlignment w:val="auto"/>
        <w:rPr>
          <w:rFonts w:hint="eastAsia" w:ascii="仿宋" w:hAnsi="仿宋" w:eastAsia="仿宋" w:cs="仿宋"/>
          <w:sz w:val="28"/>
          <w:szCs w:val="28"/>
          <w:lang w:val="en-US" w:eastAsia="zh-CN"/>
        </w:rPr>
      </w:pPr>
    </w:p>
    <w:p w14:paraId="626D67F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 w:hAnsi="仿宋" w:eastAsia="仿宋" w:cs="仿宋"/>
          <w:sz w:val="28"/>
          <w:szCs w:val="28"/>
          <w:lang w:val="en-US" w:eastAsia="zh-CN"/>
        </w:rPr>
      </w:pPr>
    </w:p>
    <w:p w14:paraId="1669190C">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360" w:lineRule="auto"/>
        <w:textAlignment w:val="auto"/>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甲方（盖章）：                        乙方（盖章）：</w:t>
      </w:r>
    </w:p>
    <w:p w14:paraId="4BE8AF9F">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240" w:lineRule="auto"/>
        <w:textAlignment w:val="auto"/>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法定代表人或                         法定代表人或</w:t>
      </w:r>
    </w:p>
    <w:p w14:paraId="2EBB7D08">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 xml:space="preserve">授权委托人：                         授权委托人：          </w:t>
      </w:r>
    </w:p>
    <w:p w14:paraId="132D653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（签名）                            （签名）</w:t>
      </w:r>
    </w:p>
    <w:p w14:paraId="144A6E92">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360" w:lineRule="auto"/>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4"/>
          <w:szCs w:val="24"/>
          <w:lang w:val="en-US" w:eastAsia="zh-CN"/>
        </w:rPr>
        <w:t>日期：       年     月    日         日期：       年     月    日</w:t>
      </w:r>
    </w:p>
    <w:p w14:paraId="74710BE2">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黑体" w:hAnsi="黑体" w:eastAsia="黑体" w:cs="黑体"/>
          <w:b w:val="0"/>
          <w:bCs w:val="0"/>
          <w:sz w:val="24"/>
          <w:szCs w:val="24"/>
          <w:lang w:val="en-US" w:eastAsia="zh-CN"/>
        </w:rPr>
      </w:pPr>
    </w:p>
    <w:p w14:paraId="40BBAE4D">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黑体" w:hAnsi="黑体" w:eastAsia="黑体" w:cs="黑体"/>
          <w:b w:val="0"/>
          <w:bCs w:val="0"/>
          <w:sz w:val="24"/>
          <w:szCs w:val="24"/>
          <w:lang w:val="en-US" w:eastAsia="zh-CN"/>
        </w:rPr>
      </w:pPr>
    </w:p>
    <w:p w14:paraId="278F7B6C">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黑体" w:hAnsi="黑体" w:eastAsia="黑体" w:cs="黑体"/>
          <w:b w:val="0"/>
          <w:bCs w:val="0"/>
          <w:sz w:val="24"/>
          <w:szCs w:val="24"/>
          <w:lang w:val="en-US" w:eastAsia="zh-CN"/>
        </w:rPr>
      </w:pPr>
    </w:p>
    <w:p w14:paraId="73A4CBF7">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黑体" w:hAnsi="黑体" w:eastAsia="黑体" w:cs="黑体"/>
          <w:b w:val="0"/>
          <w:bCs w:val="0"/>
          <w:sz w:val="24"/>
          <w:szCs w:val="24"/>
          <w:lang w:val="en-US" w:eastAsia="zh-CN"/>
        </w:rPr>
      </w:pPr>
    </w:p>
    <w:p w14:paraId="16AB70CD">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黑体" w:hAnsi="黑体" w:eastAsia="黑体" w:cs="黑体"/>
          <w:b w:val="0"/>
          <w:bCs w:val="0"/>
          <w:sz w:val="24"/>
          <w:szCs w:val="24"/>
          <w:lang w:val="en-US" w:eastAsia="zh-CN"/>
        </w:rPr>
      </w:pPr>
    </w:p>
    <w:p w14:paraId="2E578A3D">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黑体" w:hAnsi="黑体" w:eastAsia="黑体" w:cs="黑体"/>
          <w:b w:val="0"/>
          <w:bCs w:val="0"/>
          <w:sz w:val="24"/>
          <w:szCs w:val="24"/>
          <w:lang w:val="en-US" w:eastAsia="zh-CN"/>
        </w:rPr>
      </w:pPr>
    </w:p>
    <w:p w14:paraId="448D51EA">
      <w:pPr>
        <w:pStyle w:val="2"/>
        <w:rPr>
          <w:rFonts w:hint="eastAsia"/>
          <w:lang w:val="en-US" w:eastAsia="zh-CN"/>
        </w:rPr>
      </w:pPr>
    </w:p>
    <w:p w14:paraId="17BD854C">
      <w:pPr>
        <w:spacing w:line="460" w:lineRule="exact"/>
        <w:rPr>
          <w:rFonts w:hint="eastAsia"/>
          <w:b/>
        </w:rPr>
      </w:pPr>
    </w:p>
    <w:p w14:paraId="76296267">
      <w:pPr>
        <w:pStyle w:val="2"/>
        <w:rPr>
          <w:rFonts w:hint="eastAsia"/>
          <w:b/>
        </w:rPr>
      </w:pPr>
    </w:p>
    <w:p w14:paraId="7CFC5D54">
      <w:pPr>
        <w:rPr>
          <w:rFonts w:hint="eastAsia"/>
          <w:b/>
        </w:rPr>
      </w:pPr>
    </w:p>
    <w:p w14:paraId="67950C54">
      <w:pPr>
        <w:pStyle w:val="2"/>
        <w:rPr>
          <w:rFonts w:hint="eastAsia"/>
          <w:b/>
        </w:rPr>
      </w:pPr>
    </w:p>
    <w:p w14:paraId="12785676">
      <w:pPr>
        <w:rPr>
          <w:rFonts w:hint="eastAsia"/>
          <w:b/>
        </w:rPr>
      </w:pPr>
    </w:p>
    <w:p w14:paraId="5A7A2633">
      <w:pPr>
        <w:pStyle w:val="2"/>
        <w:rPr>
          <w:rFonts w:hint="eastAsia"/>
          <w:b/>
        </w:rPr>
      </w:pPr>
    </w:p>
    <w:p w14:paraId="16948E70">
      <w:pPr>
        <w:rPr>
          <w:rFonts w:hint="eastAsia"/>
          <w:b/>
        </w:rPr>
      </w:pPr>
    </w:p>
    <w:p w14:paraId="0C5957CE">
      <w:pPr>
        <w:pStyle w:val="2"/>
        <w:rPr>
          <w:rFonts w:hint="eastAsia"/>
          <w:b/>
        </w:rPr>
      </w:pPr>
    </w:p>
    <w:p w14:paraId="5B0A6C7F">
      <w:pPr>
        <w:rPr>
          <w:rFonts w:hint="eastAsia"/>
          <w:b/>
        </w:rPr>
      </w:pPr>
    </w:p>
    <w:p w14:paraId="66CDBDC1">
      <w:pPr>
        <w:pStyle w:val="2"/>
        <w:rPr>
          <w:rFonts w:hint="eastAsia"/>
          <w:b/>
        </w:rPr>
      </w:pPr>
    </w:p>
    <w:p w14:paraId="6A12C6A4">
      <w:pPr>
        <w:rPr>
          <w:rFonts w:hint="eastAsia"/>
          <w:b/>
        </w:rPr>
      </w:pPr>
    </w:p>
    <w:p w14:paraId="20F1BA9E">
      <w:pPr>
        <w:pStyle w:val="2"/>
        <w:rPr>
          <w:rFonts w:hint="eastAsia"/>
          <w:b/>
        </w:rPr>
      </w:pPr>
    </w:p>
    <w:p w14:paraId="6DAD3FAA">
      <w:pPr>
        <w:rPr>
          <w:rFonts w:hint="eastAsia"/>
          <w:b/>
        </w:rPr>
      </w:pPr>
    </w:p>
    <w:p w14:paraId="0F8B484F">
      <w:pPr>
        <w:pStyle w:val="2"/>
        <w:rPr>
          <w:rFonts w:hint="eastAsia"/>
          <w:b/>
        </w:rPr>
      </w:pPr>
    </w:p>
    <w:p w14:paraId="46C3712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 w:hAnsi="仿宋" w:eastAsia="仿宋" w:cs="仿宋"/>
          <w:sz w:val="28"/>
          <w:szCs w:val="28"/>
          <w:lang w:val="en-US" w:eastAsia="zh-CN"/>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DE7E1">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D82E63">
                          <w:pPr>
                            <w:pStyle w:val="6"/>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2D82E63">
                    <w:pPr>
                      <w:pStyle w:val="6"/>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06012E">
    <w:pPr>
      <w:pStyle w:val="7"/>
      <w:wordWrap w:val="0"/>
      <w:jc w:val="right"/>
      <w:rPr>
        <w:rFonts w:hint="eastAsia" w:ascii="仿宋" w:hAnsi="仿宋" w:eastAsia="仿宋" w:cs="仿宋"/>
        <w:sz w:val="21"/>
        <w:szCs w:val="32"/>
        <w:lang w:val="en-US" w:eastAsia="zh-CN"/>
      </w:rPr>
    </w:pPr>
    <w:r>
      <w:rPr>
        <w:rFonts w:hint="eastAsia" w:ascii="仿宋" w:hAnsi="仿宋" w:eastAsia="仿宋" w:cs="仿宋"/>
        <w:sz w:val="21"/>
        <w:szCs w:val="32"/>
        <w:lang w:val="en-US" w:eastAsia="zh-CN"/>
      </w:rPr>
      <w:t xml:space="preserve">合同编号：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yMzdiNDBiYjlhOTU1OTE0NmMxYjlkMWE2Y2ViYWQifQ=="/>
  </w:docVars>
  <w:rsids>
    <w:rsidRoot w:val="111D3B35"/>
    <w:rsid w:val="03AD764F"/>
    <w:rsid w:val="07084ED4"/>
    <w:rsid w:val="09293C1C"/>
    <w:rsid w:val="0A431BE5"/>
    <w:rsid w:val="0E4F5ED2"/>
    <w:rsid w:val="0E5C05EF"/>
    <w:rsid w:val="0E622973"/>
    <w:rsid w:val="111D3B35"/>
    <w:rsid w:val="12F9465F"/>
    <w:rsid w:val="13C77D51"/>
    <w:rsid w:val="16333F5F"/>
    <w:rsid w:val="16A904F7"/>
    <w:rsid w:val="199D1C93"/>
    <w:rsid w:val="1D5B1973"/>
    <w:rsid w:val="1F2B4A85"/>
    <w:rsid w:val="20200DEA"/>
    <w:rsid w:val="211F6D10"/>
    <w:rsid w:val="219B6E5F"/>
    <w:rsid w:val="24E151BD"/>
    <w:rsid w:val="2607029E"/>
    <w:rsid w:val="271B16CC"/>
    <w:rsid w:val="30D37BFF"/>
    <w:rsid w:val="34CC3451"/>
    <w:rsid w:val="417C1E33"/>
    <w:rsid w:val="459B5A48"/>
    <w:rsid w:val="45B778DE"/>
    <w:rsid w:val="4682613E"/>
    <w:rsid w:val="47126622"/>
    <w:rsid w:val="48D6451F"/>
    <w:rsid w:val="4A5E657A"/>
    <w:rsid w:val="4B6127C6"/>
    <w:rsid w:val="4BD92CFF"/>
    <w:rsid w:val="4E5C1022"/>
    <w:rsid w:val="50860192"/>
    <w:rsid w:val="526D0FC9"/>
    <w:rsid w:val="58D141C7"/>
    <w:rsid w:val="59D272A3"/>
    <w:rsid w:val="5F703C98"/>
    <w:rsid w:val="60A54AAB"/>
    <w:rsid w:val="61A62889"/>
    <w:rsid w:val="623718A1"/>
    <w:rsid w:val="63F00CC9"/>
    <w:rsid w:val="646D3B32"/>
    <w:rsid w:val="67CB0611"/>
    <w:rsid w:val="6DDB5FB0"/>
    <w:rsid w:val="6F9252D1"/>
    <w:rsid w:val="7043552C"/>
    <w:rsid w:val="720A38E1"/>
    <w:rsid w:val="74231C07"/>
    <w:rsid w:val="76567B8F"/>
    <w:rsid w:val="77396A9D"/>
    <w:rsid w:val="78BE4504"/>
    <w:rsid w:val="7BCF30BD"/>
    <w:rsid w:val="7F8200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Indent 2"/>
    <w:basedOn w:val="1"/>
    <w:next w:val="1"/>
    <w:qFormat/>
    <w:uiPriority w:val="0"/>
    <w:pPr>
      <w:spacing w:line="360" w:lineRule="exact"/>
      <w:ind w:firstLine="600" w:firstLineChars="250"/>
      <w:jc w:val="left"/>
    </w:pPr>
    <w:rPr>
      <w:sz w:val="24"/>
    </w:rPr>
  </w:style>
  <w:style w:type="paragraph" w:styleId="3">
    <w:name w:val="annotation text"/>
    <w:basedOn w:val="1"/>
    <w:qFormat/>
    <w:uiPriority w:val="0"/>
    <w:pPr>
      <w:jc w:val="left"/>
    </w:pPr>
  </w:style>
  <w:style w:type="paragraph" w:styleId="4">
    <w:name w:val="Body Text Indent"/>
    <w:basedOn w:val="1"/>
    <w:next w:val="5"/>
    <w:qFormat/>
    <w:uiPriority w:val="0"/>
    <w:pPr>
      <w:ind w:firstLine="645"/>
    </w:pPr>
    <w:rPr>
      <w:rFonts w:ascii="楷体_GB2312" w:eastAsia="楷体_GB2312"/>
      <w:kern w:val="2"/>
      <w:sz w:val="32"/>
      <w:lang w:val="en-US" w:eastAsia="zh-CN" w:bidi="ar-SA"/>
    </w:rPr>
  </w:style>
  <w:style w:type="paragraph" w:styleId="5">
    <w:name w:val="envelope return"/>
    <w:basedOn w:val="1"/>
    <w:qFormat/>
    <w:uiPriority w:val="0"/>
    <w:pPr>
      <w:snapToGrid w:val="0"/>
    </w:pPr>
    <w:rPr>
      <w:rFonts w:ascii="Arial" w:hAnsi="Arial"/>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2"/>
    <w:basedOn w:val="4"/>
    <w:qFormat/>
    <w:uiPriority w:val="0"/>
    <w:pPr>
      <w:ind w:left="420" w:firstLine="420" w:firstLineChars="200"/>
    </w:pPr>
    <w:rPr>
      <w:rFonts w:ascii="Calibri" w:hAnsi="Calibri"/>
      <w:sz w:val="21"/>
      <w:szCs w:val="22"/>
    </w:rPr>
  </w:style>
  <w:style w:type="character" w:styleId="11">
    <w:name w:val="annotation reference"/>
    <w:basedOn w:val="10"/>
    <w:qFormat/>
    <w:uiPriority w:val="0"/>
    <w:rPr>
      <w:sz w:val="21"/>
      <w:szCs w:val="21"/>
    </w:rPr>
  </w:style>
  <w:style w:type="paragraph" w:customStyle="1" w:styleId="12">
    <w:name w:val="彩色列表 - 强调文字颜色 11"/>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2849</Words>
  <Characters>2913</Characters>
  <Lines>0</Lines>
  <Paragraphs>0</Paragraphs>
  <TotalTime>202</TotalTime>
  <ScaleCrop>false</ScaleCrop>
  <LinksUpToDate>false</LinksUpToDate>
  <CharactersWithSpaces>3147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2024-09-06T01:18:00Z</dcterms:created>
  <dc:creator>白鹭</dc:creator>
  <cp:lastModifiedBy>沈超</cp:lastModifiedBy>
  <dcterms:modified xsi:type="dcterms:W3CDTF">2024-12-10T07:36:43Z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A86FC4A5CEE4483B91ECDC7AC247E7BC_13</vt:lpwstr>
  </property>
</Properties>
</file>