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AE8EA">
      <w:bookmarkStart w:id="0" w:name="_bookmark4"/>
      <w:bookmarkEnd w:id="0"/>
    </w:p>
    <w:p w14:paraId="7560795D"/>
    <w:p w14:paraId="06CE7193">
      <w:pPr>
        <w:pStyle w:val="18"/>
        <w:bidi w:val="0"/>
        <w:jc w:val="center"/>
        <w:rPr>
          <w:rFonts w:hint="eastAsia"/>
          <w:b w:val="0"/>
          <w:bCs w:val="0"/>
          <w:highlight w:val="yellow"/>
          <w:u w:val="single"/>
          <w:lang w:val="en-US" w:eastAsia="zh-CN"/>
        </w:rPr>
      </w:pPr>
    </w:p>
    <w:p w14:paraId="66E7DE11">
      <w:pPr>
        <w:pStyle w:val="18"/>
        <w:bidi w:val="0"/>
        <w:jc w:val="center"/>
        <w:rPr>
          <w:rFonts w:hint="eastAsia"/>
          <w:b w:val="0"/>
          <w:bCs w:val="0"/>
          <w:highlight w:val="yellow"/>
          <w:u w:val="single"/>
          <w:lang w:val="en-US" w:eastAsia="zh-CN"/>
        </w:rPr>
      </w:pPr>
      <w:r>
        <w:rPr>
          <w:rFonts w:hint="eastAsia"/>
          <w:b w:val="0"/>
          <w:bCs w:val="0"/>
          <w:highlight w:val="yellow"/>
          <w:u w:val="single"/>
          <w:lang w:val="en-US" w:eastAsia="zh-CN"/>
        </w:rPr>
        <w:t>紫蓬小巷美食街物业服务采购</w:t>
      </w:r>
      <w:r>
        <w:rPr>
          <w:rFonts w:hint="eastAsia"/>
          <w:b w:val="0"/>
          <w:bCs w:val="0"/>
          <w:u w:val="none"/>
          <w:lang w:val="en-US" w:eastAsia="zh-CN"/>
        </w:rPr>
        <w:t>项目</w:t>
      </w:r>
    </w:p>
    <w:p w14:paraId="4E57FE40">
      <w:pPr>
        <w:pStyle w:val="18"/>
        <w:bidi w:val="0"/>
        <w:jc w:val="center"/>
        <w:rPr>
          <w:rFonts w:hint="eastAsia"/>
          <w:b w:val="0"/>
          <w:bCs w:val="0"/>
          <w:u w:val="none"/>
          <w:lang w:val="en-US" w:eastAsia="zh-CN"/>
        </w:rPr>
      </w:pPr>
    </w:p>
    <w:p w14:paraId="35463BE4">
      <w:pPr>
        <w:pStyle w:val="18"/>
        <w:bidi w:val="0"/>
        <w:rPr>
          <w:rFonts w:hint="eastAsia"/>
          <w:lang w:val="en-US" w:eastAsia="zh-CN"/>
        </w:rPr>
      </w:pPr>
    </w:p>
    <w:p w14:paraId="37D71E16">
      <w:pPr>
        <w:pStyle w:val="18"/>
        <w:bidi w:val="0"/>
        <w:rPr>
          <w:rFonts w:hint="eastAsia"/>
          <w:lang w:val="en-US" w:eastAsia="zh-CN"/>
        </w:rPr>
      </w:pPr>
    </w:p>
    <w:p w14:paraId="22F80560">
      <w:pPr>
        <w:pStyle w:val="18"/>
        <w:bidi w:val="0"/>
        <w:rPr>
          <w:rFonts w:hint="eastAsia"/>
          <w:lang w:val="en-US" w:eastAsia="zh-CN"/>
        </w:rPr>
      </w:pPr>
    </w:p>
    <w:p w14:paraId="0B6B72AC">
      <w:pPr>
        <w:pStyle w:val="18"/>
        <w:bidi w:val="0"/>
        <w:rPr>
          <w:rFonts w:hint="eastAsia"/>
          <w:lang w:val="en-US" w:eastAsia="zh-CN"/>
        </w:rPr>
      </w:pPr>
    </w:p>
    <w:p w14:paraId="2F2A569D">
      <w:pPr>
        <w:pStyle w:val="18"/>
        <w:bidi w:val="0"/>
        <w:rPr>
          <w:rFonts w:hint="eastAsia"/>
          <w:b w:val="0"/>
          <w:bCs w:val="0"/>
          <w:sz w:val="72"/>
          <w:szCs w:val="72"/>
          <w:lang w:val="en-US" w:eastAsia="zh-CN"/>
        </w:rPr>
      </w:pPr>
      <w:r>
        <w:rPr>
          <w:rFonts w:hint="eastAsia"/>
          <w:b w:val="0"/>
          <w:bCs w:val="0"/>
          <w:sz w:val="72"/>
          <w:szCs w:val="72"/>
          <w:lang w:val="en-US" w:eastAsia="zh-CN"/>
        </w:rPr>
        <w:t>服</w:t>
      </w:r>
    </w:p>
    <w:p w14:paraId="2A8C0C58">
      <w:pPr>
        <w:pStyle w:val="18"/>
        <w:bidi w:val="0"/>
        <w:rPr>
          <w:rFonts w:hint="eastAsia"/>
          <w:b w:val="0"/>
          <w:bCs w:val="0"/>
          <w:sz w:val="72"/>
          <w:szCs w:val="72"/>
          <w:lang w:val="en-US" w:eastAsia="zh-CN"/>
        </w:rPr>
      </w:pPr>
    </w:p>
    <w:p w14:paraId="302981F8">
      <w:pPr>
        <w:pStyle w:val="18"/>
        <w:bidi w:val="0"/>
        <w:rPr>
          <w:rFonts w:hint="eastAsia"/>
          <w:b w:val="0"/>
          <w:bCs w:val="0"/>
          <w:sz w:val="72"/>
          <w:szCs w:val="72"/>
          <w:lang w:val="en-US" w:eastAsia="zh-CN"/>
        </w:rPr>
      </w:pPr>
      <w:r>
        <w:rPr>
          <w:rFonts w:hint="eastAsia"/>
          <w:b w:val="0"/>
          <w:bCs w:val="0"/>
          <w:sz w:val="72"/>
          <w:szCs w:val="72"/>
          <w:lang w:val="en-US" w:eastAsia="zh-CN"/>
        </w:rPr>
        <w:t>务</w:t>
      </w:r>
    </w:p>
    <w:p w14:paraId="0122FB23">
      <w:pPr>
        <w:pStyle w:val="18"/>
        <w:bidi w:val="0"/>
        <w:rPr>
          <w:rFonts w:hint="eastAsia"/>
          <w:b w:val="0"/>
          <w:bCs w:val="0"/>
          <w:sz w:val="72"/>
          <w:szCs w:val="72"/>
          <w:lang w:val="en-US" w:eastAsia="zh-CN"/>
        </w:rPr>
      </w:pPr>
    </w:p>
    <w:p w14:paraId="4C4BD439">
      <w:pPr>
        <w:pStyle w:val="18"/>
        <w:bidi w:val="0"/>
        <w:rPr>
          <w:rFonts w:hint="eastAsia"/>
          <w:b w:val="0"/>
          <w:bCs w:val="0"/>
          <w:sz w:val="72"/>
          <w:szCs w:val="72"/>
        </w:rPr>
      </w:pPr>
      <w:r>
        <w:rPr>
          <w:rFonts w:hint="eastAsia"/>
          <w:b w:val="0"/>
          <w:bCs w:val="0"/>
          <w:sz w:val="72"/>
          <w:szCs w:val="72"/>
        </w:rPr>
        <w:t>合</w:t>
      </w:r>
    </w:p>
    <w:p w14:paraId="5AEE243A">
      <w:pPr>
        <w:pStyle w:val="18"/>
        <w:bidi w:val="0"/>
        <w:rPr>
          <w:rFonts w:hint="eastAsia"/>
          <w:b w:val="0"/>
          <w:bCs w:val="0"/>
          <w:sz w:val="72"/>
          <w:szCs w:val="72"/>
        </w:rPr>
      </w:pPr>
    </w:p>
    <w:p w14:paraId="2976C396">
      <w:pPr>
        <w:pStyle w:val="18"/>
        <w:bidi w:val="0"/>
        <w:rPr>
          <w:rFonts w:hint="eastAsia"/>
          <w:sz w:val="72"/>
          <w:szCs w:val="72"/>
        </w:rPr>
      </w:pPr>
      <w:r>
        <w:rPr>
          <w:rFonts w:hint="eastAsia"/>
          <w:b w:val="0"/>
          <w:bCs w:val="0"/>
          <w:sz w:val="72"/>
          <w:szCs w:val="72"/>
        </w:rPr>
        <w:t>同</w:t>
      </w:r>
      <w:bookmarkStart w:id="1" w:name="（货物类）"/>
      <w:bookmarkEnd w:id="1"/>
    </w:p>
    <w:p w14:paraId="45EF78C2">
      <w:pPr>
        <w:jc w:val="center"/>
      </w:pPr>
    </w:p>
    <w:p w14:paraId="15C8F043">
      <w:pPr>
        <w:rPr>
          <w:rFonts w:hint="eastAsia" w:eastAsia="宋体"/>
          <w:lang w:eastAsia="zh-CN"/>
        </w:rPr>
      </w:pPr>
      <w:bookmarkStart w:id="2" w:name="第一部分_合同书"/>
      <w:bookmarkEnd w:id="2"/>
    </w:p>
    <w:p w14:paraId="4CD3D678">
      <w:pPr>
        <w:pStyle w:val="18"/>
        <w:bidi w:val="0"/>
        <w:jc w:val="center"/>
        <w:rPr>
          <w:rFonts w:hint="eastAsia"/>
          <w:b w:val="0"/>
          <w:bCs w:val="0"/>
          <w:u w:val="none"/>
          <w:lang w:val="en-US" w:eastAsia="zh-CN"/>
        </w:rPr>
      </w:pPr>
    </w:p>
    <w:p w14:paraId="5E5ACC1A">
      <w:pPr>
        <w:pStyle w:val="18"/>
        <w:bidi w:val="0"/>
        <w:jc w:val="center"/>
        <w:rPr>
          <w:rFonts w:hint="eastAsia"/>
          <w:b w:val="0"/>
          <w:bCs w:val="0"/>
          <w:u w:val="none"/>
          <w:lang w:val="en-US" w:eastAsia="zh-CN"/>
        </w:rPr>
      </w:pPr>
    </w:p>
    <w:p w14:paraId="1B15F257">
      <w:pPr>
        <w:pStyle w:val="18"/>
        <w:bidi w:val="0"/>
        <w:jc w:val="center"/>
        <w:rPr>
          <w:rFonts w:hint="eastAsia"/>
          <w:b w:val="0"/>
          <w:bCs w:val="0"/>
          <w:u w:val="none"/>
          <w:lang w:val="en-US" w:eastAsia="zh-CN"/>
        </w:rPr>
      </w:pPr>
    </w:p>
    <w:p w14:paraId="4CEFCDAE">
      <w:pPr>
        <w:pStyle w:val="18"/>
        <w:bidi w:val="0"/>
        <w:jc w:val="center"/>
        <w:rPr>
          <w:rFonts w:hint="eastAsia"/>
          <w:b w:val="0"/>
          <w:bCs w:val="0"/>
          <w:u w:val="none"/>
          <w:lang w:val="en-US" w:eastAsia="zh-CN"/>
        </w:rPr>
        <w:sectPr>
          <w:footerReference r:id="rId5" w:type="default"/>
          <w:pgSz w:w="11910" w:h="16840"/>
          <w:pgMar w:top="1417" w:right="1417" w:bottom="1417" w:left="1417" w:header="877" w:footer="1020" w:gutter="0"/>
          <w:pgNumType w:fmt="chineseCounting"/>
          <w:cols w:space="0" w:num="1"/>
          <w:rtlGutter w:val="0"/>
          <w:docGrid w:linePitch="0" w:charSpace="0"/>
        </w:sectPr>
      </w:pPr>
      <w:r>
        <w:rPr>
          <w:rFonts w:hint="eastAsia"/>
          <w:b w:val="0"/>
          <w:bCs w:val="0"/>
          <w:u w:val="none"/>
          <w:lang w:val="en-US" w:eastAsia="zh-CN"/>
        </w:rPr>
        <w:t>年  月  日</w:t>
      </w:r>
    </w:p>
    <w:p w14:paraId="11E0539F">
      <w:pPr>
        <w:pStyle w:val="14"/>
        <w:bidi w:val="0"/>
        <w:rPr>
          <w:rFonts w:hint="eastAsia" w:eastAsia="宋体"/>
          <w:highlight w:val="yellow"/>
          <w:u w:val="single"/>
          <w:lang w:eastAsia="zh-CN"/>
        </w:rPr>
      </w:pPr>
      <w:r>
        <w:rPr>
          <w:rFonts w:hint="eastAsia"/>
        </w:rPr>
        <w:t>甲方（采购</w:t>
      </w:r>
      <w:r>
        <w:rPr>
          <w:rFonts w:hint="eastAsia"/>
          <w:lang w:val="en-US" w:eastAsia="zh-CN"/>
        </w:rPr>
        <w:t>方</w:t>
      </w:r>
      <w:r>
        <w:rPr>
          <w:rFonts w:hint="eastAsia"/>
        </w:rPr>
        <w:t>）：</w:t>
      </w:r>
      <w:r>
        <w:rPr>
          <w:rFonts w:hint="eastAsia"/>
          <w:highlight w:val="yellow"/>
          <w:u w:val="single"/>
          <w:lang w:eastAsia="zh-CN"/>
        </w:rPr>
        <w:t xml:space="preserve"> 肥西县紫蓬山文化旅游开发有限公司 </w:t>
      </w:r>
    </w:p>
    <w:p w14:paraId="3D2E3673">
      <w:pPr>
        <w:pStyle w:val="14"/>
        <w:bidi w:val="0"/>
        <w:rPr>
          <w:rFonts w:hint="eastAsia" w:eastAsia="宋体"/>
          <w:highlight w:val="yellow"/>
          <w:u w:val="single"/>
          <w:lang w:eastAsia="zh-CN"/>
        </w:rPr>
      </w:pPr>
      <w:r>
        <w:rPr>
          <w:rFonts w:hint="eastAsia"/>
        </w:rPr>
        <w:t>乙方（服务方）：</w:t>
      </w:r>
      <w:r>
        <w:rPr>
          <w:rFonts w:hint="eastAsia"/>
          <w:highlight w:val="yellow"/>
          <w:u w:val="single"/>
          <w:lang w:eastAsia="zh-CN"/>
        </w:rPr>
        <w:t xml:space="preserve">                           </w:t>
      </w:r>
      <w:r>
        <w:rPr>
          <w:rFonts w:hint="eastAsia"/>
          <w:highlight w:val="yellow"/>
          <w:u w:val="single"/>
          <w:lang w:val="en-US" w:eastAsia="zh-CN"/>
        </w:rPr>
        <w:t xml:space="preserve">    </w:t>
      </w:r>
      <w:r>
        <w:rPr>
          <w:rFonts w:hint="eastAsia"/>
          <w:highlight w:val="yellow"/>
          <w:u w:val="single"/>
          <w:lang w:eastAsia="zh-CN"/>
        </w:rPr>
        <w:t xml:space="preserve">   </w:t>
      </w:r>
    </w:p>
    <w:p w14:paraId="7B3B324A">
      <w:pPr>
        <w:pStyle w:val="14"/>
        <w:bidi w:val="0"/>
        <w:rPr>
          <w:rFonts w:hint="eastAsia"/>
          <w:lang w:eastAsia="zh-CN"/>
        </w:rPr>
      </w:pPr>
      <w:r>
        <w:rPr>
          <w:rFonts w:hint="eastAsia"/>
        </w:rPr>
        <w:t>根据《中华人民共和国民法典》等相关法律法规之规定，按照平等、自愿、公平和诚实信用的原则，经甲方和乙方协商一致，约定以下合同条款，以兹共同遵守、全面履行。</w:t>
      </w:r>
    </w:p>
    <w:p w14:paraId="66C053F0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合同组成部分</w:t>
      </w:r>
    </w:p>
    <w:p w14:paraId="4083998F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本合同及其补充合同、变更协议；</w:t>
      </w:r>
    </w:p>
    <w:p w14:paraId="4C73EC12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项目招投标材料（如有）。</w:t>
      </w:r>
    </w:p>
    <w:p w14:paraId="583B64D9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服务</w:t>
      </w:r>
    </w:p>
    <w:p w14:paraId="3BEA8E1B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项目</w:t>
      </w:r>
      <w:r>
        <w:rPr>
          <w:rFonts w:hint="eastAsia"/>
        </w:rPr>
        <w:t>名称：</w:t>
      </w:r>
      <w:r>
        <w:rPr>
          <w:rFonts w:hint="eastAsia"/>
          <w:highlight w:val="yellow"/>
          <w:u w:val="single"/>
          <w:lang w:eastAsia="zh-CN"/>
        </w:rPr>
        <w:t xml:space="preserve"> 紫蓬小巷美食街物业服务采购项目 </w:t>
      </w:r>
      <w:r>
        <w:rPr>
          <w:rFonts w:hint="eastAsia"/>
        </w:rPr>
        <w:t>；</w:t>
      </w:r>
    </w:p>
    <w:p w14:paraId="51DEC7A1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服务内容：</w:t>
      </w:r>
      <w:r>
        <w:rPr>
          <w:rFonts w:hint="eastAsia"/>
          <w:highlight w:val="yellow"/>
          <w:u w:val="single"/>
          <w:lang w:eastAsia="zh-CN"/>
        </w:rPr>
        <w:t xml:space="preserve">  </w:t>
      </w:r>
      <w:r>
        <w:rPr>
          <w:rFonts w:hint="eastAsia"/>
          <w:highlight w:val="yellow"/>
          <w:u w:val="single"/>
          <w:lang w:val="en-US" w:eastAsia="zh-CN"/>
        </w:rPr>
        <w:t xml:space="preserve">    保洁服务和秩序维护等    </w:t>
      </w:r>
      <w:r>
        <w:rPr>
          <w:rFonts w:hint="eastAsia"/>
          <w:highlight w:val="yellow"/>
          <w:u w:val="single"/>
          <w:lang w:eastAsia="zh-CN"/>
        </w:rPr>
        <w:t xml:space="preserve">  </w:t>
      </w:r>
      <w:r>
        <w:rPr>
          <w:rFonts w:hint="eastAsia"/>
          <w:lang w:eastAsia="zh-CN"/>
        </w:rPr>
        <w:t>；</w:t>
      </w:r>
    </w:p>
    <w:p w14:paraId="124DFA9B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人员配置：</w:t>
      </w:r>
    </w:p>
    <w:tbl>
      <w:tblPr>
        <w:tblStyle w:val="8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4316"/>
        <w:gridCol w:w="3237"/>
      </w:tblGrid>
      <w:tr w14:paraId="004C9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28AC91">
            <w:pPr>
              <w:spacing w:before="0" w:after="0" w:line="440" w:lineRule="exact"/>
              <w:ind w:left="0" w:right="0"/>
              <w:jc w:val="center"/>
              <w:rPr>
                <w:b w:val="0"/>
                <w:bCs w:val="0"/>
                <w:sz w:val="24"/>
                <w:szCs w:val="24"/>
                <w:lang w:val="en-US" w:bidi="ar-SA"/>
              </w:rPr>
            </w:pPr>
            <w:r>
              <w:rPr>
                <w:b w:val="0"/>
                <w:bCs w:val="0"/>
                <w:sz w:val="24"/>
                <w:szCs w:val="24"/>
                <w:lang w:val="en-US" w:bidi="ar-SA"/>
              </w:rPr>
              <w:t>序号</w:t>
            </w:r>
          </w:p>
        </w:tc>
        <w:tc>
          <w:tcPr>
            <w:tcW w:w="4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A0340">
            <w:pPr>
              <w:spacing w:before="0" w:after="0" w:line="440" w:lineRule="exact"/>
              <w:ind w:left="0" w:right="0"/>
              <w:jc w:val="center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 w:bidi="ar-SA"/>
              </w:rPr>
              <w:t>配备职位</w:t>
            </w:r>
          </w:p>
        </w:tc>
        <w:tc>
          <w:tcPr>
            <w:tcW w:w="3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05395">
            <w:pPr>
              <w:spacing w:before="0" w:after="0" w:line="440" w:lineRule="exact"/>
              <w:ind w:left="0" w:right="0"/>
              <w:jc w:val="center"/>
              <w:rPr>
                <w:rFonts w:hint="default" w:eastAsia="宋体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 w:bidi="ar-SA"/>
              </w:rPr>
              <w:t>配置人数</w:t>
            </w:r>
          </w:p>
        </w:tc>
      </w:tr>
      <w:tr w14:paraId="4FDAC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C15CF">
            <w:pPr>
              <w:spacing w:before="0" w:after="0" w:line="440" w:lineRule="exact"/>
              <w:ind w:left="0" w:right="0"/>
              <w:jc w:val="center"/>
              <w:rPr>
                <w:sz w:val="24"/>
                <w:szCs w:val="24"/>
                <w:lang w:val="en-US" w:bidi="ar-SA"/>
              </w:rPr>
            </w:pPr>
            <w:r>
              <w:rPr>
                <w:sz w:val="24"/>
                <w:szCs w:val="24"/>
                <w:lang w:val="en-US" w:bidi="ar-SA"/>
              </w:rPr>
              <w:t>1</w:t>
            </w:r>
          </w:p>
        </w:tc>
        <w:tc>
          <w:tcPr>
            <w:tcW w:w="4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BBB3D">
            <w:pPr>
              <w:spacing w:before="0" w:after="0" w:line="440" w:lineRule="exact"/>
              <w:ind w:left="0" w:right="0"/>
              <w:jc w:val="center"/>
              <w:rPr>
                <w:rFonts w:hint="default" w:eastAsia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 w:bidi="ar-SA"/>
              </w:rPr>
              <w:t>保洁员</w:t>
            </w:r>
          </w:p>
        </w:tc>
        <w:tc>
          <w:tcPr>
            <w:tcW w:w="3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F05FD">
            <w:pPr>
              <w:spacing w:before="0" w:after="0" w:line="440" w:lineRule="exact"/>
              <w:ind w:left="0" w:right="0"/>
              <w:jc w:val="center"/>
              <w:rPr>
                <w:rFonts w:hint="eastAsia" w:eastAsia="宋体"/>
                <w:sz w:val="24"/>
                <w:szCs w:val="24"/>
                <w:lang w:val="en-US" w:eastAsia="zh-CN" w:bidi="ar-SA"/>
              </w:rPr>
            </w:pPr>
          </w:p>
        </w:tc>
      </w:tr>
      <w:tr w14:paraId="3C884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CF88F">
            <w:pPr>
              <w:spacing w:before="0" w:after="0" w:line="440" w:lineRule="exact"/>
              <w:ind w:left="0" w:right="0"/>
              <w:jc w:val="center"/>
              <w:rPr>
                <w:sz w:val="24"/>
                <w:szCs w:val="24"/>
                <w:lang w:val="en-US" w:bidi="ar-SA"/>
              </w:rPr>
            </w:pPr>
            <w:r>
              <w:rPr>
                <w:sz w:val="24"/>
                <w:szCs w:val="24"/>
                <w:lang w:val="en-US" w:bidi="ar-SA"/>
              </w:rPr>
              <w:t>2</w:t>
            </w:r>
          </w:p>
        </w:tc>
        <w:tc>
          <w:tcPr>
            <w:tcW w:w="4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75AFF">
            <w:pPr>
              <w:spacing w:before="0" w:after="0" w:line="440" w:lineRule="exact"/>
              <w:ind w:left="0" w:right="0"/>
              <w:jc w:val="center"/>
              <w:rPr>
                <w:rFonts w:hint="default" w:eastAsia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 w:bidi="ar-SA"/>
              </w:rPr>
              <w:t>秩序维护员</w:t>
            </w:r>
          </w:p>
        </w:tc>
        <w:tc>
          <w:tcPr>
            <w:tcW w:w="3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6CEAB">
            <w:pPr>
              <w:spacing w:before="0" w:after="0" w:line="440" w:lineRule="exact"/>
              <w:ind w:left="0" w:right="0"/>
              <w:jc w:val="center"/>
              <w:rPr>
                <w:rFonts w:hint="eastAsia" w:eastAsia="宋体"/>
                <w:sz w:val="24"/>
                <w:szCs w:val="24"/>
                <w:lang w:val="en-US" w:eastAsia="zh-CN" w:bidi="ar-SA"/>
              </w:rPr>
            </w:pPr>
          </w:p>
        </w:tc>
      </w:tr>
      <w:tr w14:paraId="3E7088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54CD8">
            <w:pPr>
              <w:spacing w:before="0" w:after="0" w:line="440" w:lineRule="exact"/>
              <w:ind w:left="0" w:right="0"/>
              <w:jc w:val="center"/>
              <w:rPr>
                <w:sz w:val="24"/>
                <w:szCs w:val="24"/>
                <w:lang w:val="en-US" w:bidi="ar-SA"/>
              </w:rPr>
            </w:pPr>
            <w:r>
              <w:rPr>
                <w:sz w:val="24"/>
                <w:szCs w:val="24"/>
                <w:lang w:val="en-US" w:bidi="ar-SA"/>
              </w:rPr>
              <w:t>……</w:t>
            </w:r>
          </w:p>
        </w:tc>
        <w:tc>
          <w:tcPr>
            <w:tcW w:w="4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27F6A">
            <w:pPr>
              <w:spacing w:before="0" w:after="0" w:line="440" w:lineRule="exact"/>
              <w:ind w:left="0" w:right="0"/>
              <w:jc w:val="center"/>
              <w:rPr>
                <w:sz w:val="24"/>
                <w:szCs w:val="24"/>
                <w:lang w:val="en-US" w:bidi="ar-SA"/>
              </w:rPr>
            </w:pPr>
          </w:p>
        </w:tc>
        <w:tc>
          <w:tcPr>
            <w:tcW w:w="3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74784">
            <w:pPr>
              <w:spacing w:before="0" w:after="0" w:line="440" w:lineRule="exact"/>
              <w:ind w:left="0" w:right="0"/>
              <w:jc w:val="center"/>
              <w:rPr>
                <w:sz w:val="24"/>
                <w:szCs w:val="24"/>
                <w:lang w:val="en-US" w:bidi="ar-SA"/>
              </w:rPr>
            </w:pPr>
          </w:p>
        </w:tc>
      </w:tr>
      <w:tr w14:paraId="6D170F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5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35F4C">
            <w:pPr>
              <w:spacing w:before="0" w:after="0" w:line="440" w:lineRule="exact"/>
              <w:ind w:left="0" w:right="0"/>
              <w:jc w:val="center"/>
              <w:rPr>
                <w:rFonts w:hint="eastAsia" w:eastAsia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3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CFC18">
            <w:pPr>
              <w:spacing w:before="0" w:after="0" w:line="440" w:lineRule="exact"/>
              <w:ind w:left="0" w:right="0"/>
              <w:jc w:val="center"/>
              <w:rPr>
                <w:sz w:val="24"/>
                <w:szCs w:val="24"/>
                <w:lang w:val="en-US" w:bidi="ar-SA"/>
              </w:rPr>
            </w:pPr>
          </w:p>
        </w:tc>
      </w:tr>
    </w:tbl>
    <w:p w14:paraId="65FB5047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合同金额</w:t>
      </w:r>
    </w:p>
    <w:p w14:paraId="584D41F4">
      <w:pPr>
        <w:pStyle w:val="14"/>
        <w:bidi w:val="0"/>
        <w:rPr>
          <w:rFonts w:hint="eastAsia"/>
        </w:rPr>
      </w:pPr>
      <w:r>
        <w:rPr>
          <w:rFonts w:hint="eastAsia"/>
        </w:rPr>
        <w:t>本合同</w:t>
      </w:r>
      <w:r>
        <w:rPr>
          <w:rFonts w:hint="eastAsia"/>
          <w:lang w:val="en-US" w:eastAsia="zh-CN"/>
        </w:rPr>
        <w:t>含税</w:t>
      </w:r>
      <w:r>
        <w:rPr>
          <w:rFonts w:hint="eastAsia"/>
        </w:rPr>
        <w:t>总</w:t>
      </w:r>
      <w:r>
        <w:rPr>
          <w:rFonts w:hint="eastAsia"/>
          <w:lang w:val="en-US" w:eastAsia="zh-CN"/>
        </w:rPr>
        <w:t>金额</w:t>
      </w:r>
      <w:r>
        <w:rPr>
          <w:rFonts w:hint="eastAsia"/>
        </w:rPr>
        <w:t>为：￥</w:t>
      </w:r>
      <w:r>
        <w:rPr>
          <w:rStyle w:val="13"/>
          <w:rFonts w:hint="eastAsia"/>
          <w:highlight w:val="yellow"/>
          <w:u w:val="single"/>
          <w:lang w:eastAsia="zh-CN"/>
        </w:rPr>
        <w:t xml:space="preserve">           </w:t>
      </w:r>
      <w:r>
        <w:rPr>
          <w:rFonts w:hint="eastAsia"/>
        </w:rPr>
        <w:t>元（大写：人民币</w:t>
      </w:r>
      <w:r>
        <w:rPr>
          <w:rStyle w:val="13"/>
          <w:rFonts w:hint="eastAsia"/>
          <w:highlight w:val="yellow"/>
          <w:u w:val="single"/>
          <w:lang w:eastAsia="zh-CN"/>
        </w:rPr>
        <w:t xml:space="preserve">                 </w:t>
      </w:r>
      <w:r>
        <w:rPr>
          <w:rFonts w:hint="eastAsia"/>
        </w:rPr>
        <w:t>元）。</w:t>
      </w:r>
    </w:p>
    <w:p w14:paraId="06E104B5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服务期限、地点</w:t>
      </w:r>
    </w:p>
    <w:p w14:paraId="29F65CDE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服务期限：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highlight w:val="yellow"/>
          <w:u w:val="single"/>
          <w:lang w:val="en-US" w:eastAsia="zh-CN"/>
        </w:rPr>
        <w:t>1年，即2024年   月   日至2025年   月   日</w:t>
      </w:r>
      <w:r>
        <w:rPr>
          <w:rFonts w:hint="eastAsia"/>
        </w:rPr>
        <w:t>；</w:t>
      </w:r>
    </w:p>
    <w:p w14:paraId="0DD7996A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服务地点：</w:t>
      </w:r>
      <w:r>
        <w:rPr>
          <w:rFonts w:hint="eastAsia"/>
          <w:highlight w:val="yellow"/>
          <w:u w:val="single"/>
          <w:lang w:eastAsia="zh-CN"/>
        </w:rPr>
        <w:t xml:space="preserve"> 紫蓬小巷美食街（</w:t>
      </w:r>
      <w:r>
        <w:rPr>
          <w:rFonts w:hint="eastAsia"/>
          <w:highlight w:val="yellow"/>
          <w:u w:val="single"/>
          <w:lang w:val="en-US" w:eastAsia="zh-CN"/>
        </w:rPr>
        <w:t>街区道路及二楼就餐区等甲方指定地点</w:t>
      </w:r>
      <w:r>
        <w:rPr>
          <w:rFonts w:hint="eastAsia"/>
          <w:highlight w:val="yellow"/>
          <w:u w:val="single"/>
          <w:lang w:eastAsia="zh-CN"/>
        </w:rPr>
        <w:t xml:space="preserve">） </w:t>
      </w:r>
      <w:r>
        <w:rPr>
          <w:rFonts w:hint="eastAsia"/>
        </w:rPr>
        <w:t>；</w:t>
      </w:r>
    </w:p>
    <w:p w14:paraId="23F59F34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付款条件</w:t>
      </w:r>
    </w:p>
    <w:p w14:paraId="1C362728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合同</w:t>
      </w:r>
      <w:r>
        <w:rPr>
          <w:rFonts w:hint="eastAsia"/>
        </w:rPr>
        <w:t>费用</w:t>
      </w:r>
      <w:r>
        <w:rPr>
          <w:rFonts w:hint="eastAsia"/>
          <w:lang w:val="en-US" w:eastAsia="zh-CN"/>
        </w:rPr>
        <w:t>每3个月结算一次，每次支付合同总价的25%</w:t>
      </w:r>
      <w:r>
        <w:rPr>
          <w:rFonts w:hint="eastAsia"/>
          <w:lang w:eastAsia="zh-CN"/>
        </w:rPr>
        <w:t>；</w:t>
      </w:r>
      <w:r>
        <w:rPr>
          <w:rFonts w:hint="eastAsia"/>
          <w:b/>
          <w:bCs/>
          <w:lang w:val="en-US" w:eastAsia="zh-CN"/>
        </w:rPr>
        <w:t>服务成效满足本合同要求并得到甲方认可，是足额付款的前提条件</w:t>
      </w:r>
      <w:r>
        <w:rPr>
          <w:rFonts w:hint="eastAsia"/>
          <w:b/>
          <w:bCs/>
          <w:lang w:eastAsia="zh-CN"/>
        </w:rPr>
        <w:t>。</w:t>
      </w:r>
    </w:p>
    <w:p w14:paraId="1879A6C9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甲方付款前，乙方应开具</w:t>
      </w:r>
      <w:r>
        <w:rPr>
          <w:rFonts w:hint="eastAsia"/>
          <w:b/>
          <w:bCs/>
          <w:lang w:val="en-US" w:eastAsia="zh-CN"/>
        </w:rPr>
        <w:t>足</w:t>
      </w:r>
      <w:r>
        <w:rPr>
          <w:rFonts w:hint="eastAsia"/>
          <w:b/>
          <w:bCs/>
        </w:rPr>
        <w:t>额有效增值税</w:t>
      </w:r>
      <w:r>
        <w:rPr>
          <w:rFonts w:hint="eastAsia"/>
          <w:b/>
          <w:bCs/>
          <w:color w:val="FF0000"/>
          <w:highlight w:val="yellow"/>
        </w:rPr>
        <w:t>专用</w:t>
      </w:r>
      <w:r>
        <w:rPr>
          <w:rFonts w:hint="eastAsia"/>
          <w:b/>
          <w:bCs/>
        </w:rPr>
        <w:t>发票</w:t>
      </w:r>
      <w:r>
        <w:rPr>
          <w:rFonts w:hint="eastAsia"/>
        </w:rPr>
        <w:t>，否则甲方可拒绝付款且不视为甲方违约。</w:t>
      </w:r>
    </w:p>
    <w:p w14:paraId="3D336DE1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工作要求</w:t>
      </w:r>
    </w:p>
    <w:p w14:paraId="00502B42">
      <w:pPr>
        <w:pStyle w:val="15"/>
        <w:bidi w:val="0"/>
        <w:ind w:left="0" w:leftChars="0" w:firstLine="56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人员要求：身体健康，无犯罪记录，着统一工装，服从业主单位现场管理等。</w:t>
      </w:r>
    </w:p>
    <w:p w14:paraId="3EE21786">
      <w:pPr>
        <w:pStyle w:val="15"/>
        <w:bidi w:val="0"/>
        <w:ind w:left="0" w:leftChars="0" w:firstLine="56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工作时长：保洁员工作时间每日约8小时，秩序维护员每日约12小时。</w:t>
      </w:r>
    </w:p>
    <w:p w14:paraId="52A81FF1">
      <w:pPr>
        <w:pStyle w:val="15"/>
        <w:bidi w:val="0"/>
        <w:ind w:left="0" w:leftChars="0" w:firstLine="56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洁作业：保持工作区域内的卫生整洁，清扫保洁范围内垃圾，包括清理桌面垃圾，及时清理纸篓的垃圾，果皮箱按位摆放并定期清洗，垃圾安排班次及时清运；作业工具摆放适当，不影响行人，清扫道路时避免扬尘。</w:t>
      </w:r>
    </w:p>
    <w:p w14:paraId="098F830F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公厕清理：无污渍，无积水，无臭味，定期消毒，保持畅通，遇堵塞时要及时疏通等。</w:t>
      </w:r>
    </w:p>
    <w:p w14:paraId="1355A1B5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环境卫生管理服务要求：（1）制定环境卫生管理制度并执行。（2）设专人对环境卫生质量进行监督检査，每日抽査不少于 1 次。（3）保洁人员开展清洗保养地砖、墙面</w:t>
      </w:r>
      <w:bookmarkStart w:id="4" w:name="_GoBack"/>
      <w:bookmarkEnd w:id="4"/>
      <w:r>
        <w:rPr>
          <w:rFonts w:hint="eastAsia"/>
          <w:lang w:val="en-US" w:eastAsia="zh-CN"/>
        </w:rPr>
        <w:t>等作业时，应放置“正在清洁” 、“小心地滑”等警示标识。（4）在雨雪后及时组织排除积水，清扫路面积雪，铲除积冰。（5）发现环境卫生器具损坏时，应及时报修。</w:t>
      </w:r>
    </w:p>
    <w:p w14:paraId="467566FD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违约责任</w:t>
      </w:r>
    </w:p>
    <w:p w14:paraId="3DA4C33A">
      <w:pPr>
        <w:pStyle w:val="15"/>
        <w:bidi w:val="0"/>
        <w:ind w:left="0" w:leftChars="0" w:firstLine="567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如果乙方由于自身</w:t>
      </w:r>
      <w:r>
        <w:rPr>
          <w:rFonts w:hint="eastAsia"/>
          <w:lang w:val="en-US" w:eastAsia="zh-CN"/>
        </w:rPr>
        <w:t>或与其相关联原因未能</w:t>
      </w:r>
      <w:r>
        <w:rPr>
          <w:rFonts w:hint="eastAsia"/>
          <w:lang w:eastAsia="zh-CN"/>
        </w:rPr>
        <w:t>按照本合同约定的期限、地点和方式履行合同</w:t>
      </w:r>
      <w:r>
        <w:rPr>
          <w:rFonts w:hint="eastAsia"/>
          <w:lang w:val="en-US" w:eastAsia="zh-CN"/>
        </w:rPr>
        <w:t>义务</w:t>
      </w:r>
      <w:r>
        <w:rPr>
          <w:rFonts w:hint="eastAsia"/>
          <w:lang w:eastAsia="zh-CN"/>
        </w:rPr>
        <w:t>，甲方可要求乙方支付违约金，违约金按每迟延履</w:t>
      </w:r>
      <w:r>
        <w:rPr>
          <w:rFonts w:hint="eastAsia"/>
          <w:lang w:val="en-US" w:eastAsia="zh-CN"/>
        </w:rPr>
        <w:t>约或履约不达标（即不</w:t>
      </w:r>
      <w:r>
        <w:rPr>
          <w:rFonts w:hint="eastAsia"/>
          <w:lang w:eastAsia="zh-CN"/>
        </w:rPr>
        <w:t>符合</w:t>
      </w:r>
      <w:r>
        <w:rPr>
          <w:rFonts w:hint="eastAsia"/>
          <w:lang w:val="en-US" w:eastAsia="zh-CN"/>
        </w:rPr>
        <w:t>相关质量标准以及本合同</w:t>
      </w:r>
      <w:r>
        <w:rPr>
          <w:rFonts w:hint="eastAsia"/>
          <w:lang w:eastAsia="zh-CN"/>
        </w:rPr>
        <w:t>服务</w:t>
      </w:r>
      <w:r>
        <w:rPr>
          <w:rFonts w:hint="eastAsia"/>
          <w:lang w:val="en-US" w:eastAsia="zh-CN"/>
        </w:rPr>
        <w:t>要求）</w:t>
      </w:r>
      <w:r>
        <w:rPr>
          <w:rFonts w:hint="eastAsia"/>
          <w:lang w:eastAsia="zh-CN"/>
        </w:rPr>
        <w:t>一日</w:t>
      </w:r>
      <w:r>
        <w:rPr>
          <w:rFonts w:hint="eastAsia"/>
          <w:lang w:val="en-US" w:eastAsia="zh-CN"/>
        </w:rPr>
        <w:t>赔付合同金额</w:t>
      </w:r>
      <w:r>
        <w:rPr>
          <w:rFonts w:hint="eastAsia"/>
          <w:lang w:eastAsia="zh-CN"/>
        </w:rPr>
        <w:t>的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highlight w:val="yellow"/>
          <w:u w:val="single"/>
          <w:lang w:val="en-US" w:eastAsia="zh-CN"/>
        </w:rPr>
        <w:t>千分之三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计算，</w:t>
      </w:r>
      <w:r>
        <w:rPr>
          <w:rFonts w:hint="eastAsia"/>
          <w:lang w:val="en-US" w:eastAsia="zh-CN"/>
        </w:rPr>
        <w:t>累计违约赔付</w:t>
      </w:r>
      <w:r>
        <w:rPr>
          <w:rFonts w:hint="eastAsia"/>
          <w:lang w:eastAsia="zh-CN"/>
        </w:rPr>
        <w:t>超过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highlight w:val="yellow"/>
          <w:u w:val="single"/>
          <w:lang w:val="en-US" w:eastAsia="zh-CN"/>
        </w:rPr>
        <w:t>15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日，甲方有权在要求乙方支付违约金的同时解除本合同</w:t>
      </w:r>
      <w:r>
        <w:rPr>
          <w:rFonts w:hint="eastAsia"/>
        </w:rPr>
        <w:t>，乙方还应承担</w:t>
      </w:r>
      <w:r>
        <w:rPr>
          <w:rFonts w:hint="eastAsia"/>
          <w:lang w:val="en-US" w:eastAsia="zh-CN"/>
        </w:rPr>
        <w:t>其他可能存在的额外</w:t>
      </w:r>
      <w:r>
        <w:rPr>
          <w:rFonts w:hint="eastAsia"/>
        </w:rPr>
        <w:t>赔偿责任</w:t>
      </w:r>
      <w:r>
        <w:rPr>
          <w:rFonts w:hint="eastAsia"/>
          <w:lang w:eastAsia="zh-CN"/>
        </w:rPr>
        <w:t>。</w:t>
      </w:r>
    </w:p>
    <w:p w14:paraId="7B4EAA23">
      <w:pPr>
        <w:pStyle w:val="15"/>
        <w:bidi w:val="0"/>
        <w:ind w:left="0" w:leftChars="0" w:firstLine="567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乙方在履行合同过程中，如果遇到不能按时履约情况，应及时以书面形式将不能按期履约的理由、延误的时间通知甲方。甲方在收到乙方通知后，有权决定是否延长合同的履行时间或终止合同。如甲方同意延长合同的履行时间，乙方必须在甲方规定的时间内提供符合</w:t>
      </w:r>
      <w:r>
        <w:rPr>
          <w:rFonts w:hint="eastAsia"/>
          <w:lang w:val="en-US" w:eastAsia="zh-CN"/>
        </w:rPr>
        <w:t>相关质量标准以及本合同要求</w:t>
      </w:r>
      <w:r>
        <w:rPr>
          <w:rFonts w:hint="eastAsia"/>
          <w:lang w:eastAsia="zh-CN"/>
        </w:rPr>
        <w:t>的服务（</w:t>
      </w:r>
      <w:r>
        <w:rPr>
          <w:rFonts w:hint="eastAsia"/>
          <w:lang w:val="en-US" w:eastAsia="zh-CN"/>
        </w:rPr>
        <w:t>简称“达标服务”</w:t>
      </w:r>
      <w:r>
        <w:rPr>
          <w:rFonts w:hint="eastAsia"/>
          <w:lang w:eastAsia="zh-CN"/>
        </w:rPr>
        <w:t>），由此造成的误期赔偿费按照前款约定执行；</w:t>
      </w:r>
    </w:p>
    <w:p w14:paraId="3B726568">
      <w:pPr>
        <w:pStyle w:val="15"/>
        <w:bidi w:val="0"/>
        <w:ind w:left="0" w:leftChars="0" w:firstLine="567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乙方履约不符合</w:t>
      </w:r>
      <w:r>
        <w:rPr>
          <w:rFonts w:hint="eastAsia"/>
          <w:lang w:val="en-US" w:eastAsia="zh-CN"/>
        </w:rPr>
        <w:t>达标服务要求</w:t>
      </w:r>
      <w:r>
        <w:rPr>
          <w:rFonts w:hint="eastAsia"/>
          <w:lang w:eastAsia="zh-CN"/>
        </w:rPr>
        <w:t>，乙方必须重新提供</w:t>
      </w:r>
      <w:r>
        <w:rPr>
          <w:rFonts w:hint="eastAsia"/>
          <w:lang w:val="en-US" w:eastAsia="zh-CN"/>
        </w:rPr>
        <w:t>达标</w:t>
      </w:r>
      <w:r>
        <w:rPr>
          <w:rFonts w:hint="eastAsia"/>
          <w:lang w:eastAsia="zh-CN"/>
        </w:rPr>
        <w:t>服务，由此造成的误期赔偿费按照前款约定执行。如乙方在甲方规定的时间内</w:t>
      </w:r>
      <w:r>
        <w:rPr>
          <w:rFonts w:hint="eastAsia"/>
          <w:lang w:val="en-US" w:eastAsia="zh-CN"/>
        </w:rPr>
        <w:t>仍</w:t>
      </w:r>
      <w:r>
        <w:rPr>
          <w:rFonts w:hint="eastAsia"/>
          <w:lang w:eastAsia="zh-CN"/>
        </w:rPr>
        <w:t>未能提供</w:t>
      </w:r>
      <w:r>
        <w:rPr>
          <w:rFonts w:hint="eastAsia"/>
          <w:lang w:val="en-US" w:eastAsia="zh-CN"/>
        </w:rPr>
        <w:t>达标服务</w:t>
      </w:r>
      <w:r>
        <w:rPr>
          <w:rFonts w:hint="eastAsia"/>
          <w:lang w:eastAsia="zh-CN"/>
        </w:rPr>
        <w:t xml:space="preserve">，甲方有权终止合同； </w:t>
      </w:r>
    </w:p>
    <w:p w14:paraId="096CB4D1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eastAsia="zh-CN"/>
        </w:rPr>
        <w:t>甲方</w:t>
      </w:r>
      <w:r>
        <w:rPr>
          <w:rFonts w:hint="eastAsia"/>
          <w:lang w:val="en-US" w:eastAsia="zh-CN"/>
        </w:rPr>
        <w:t>无正当理由</w:t>
      </w:r>
      <w:r>
        <w:rPr>
          <w:rFonts w:hint="eastAsia"/>
          <w:lang w:eastAsia="zh-CN"/>
        </w:rPr>
        <w:t xml:space="preserve">违反合同规定拒绝接收服务的，应当承担由此造成的损失。 </w:t>
      </w:r>
    </w:p>
    <w:p w14:paraId="239F6C71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合同转让和</w:t>
      </w:r>
      <w:r>
        <w:rPr>
          <w:rFonts w:hint="eastAsia"/>
          <w:lang w:val="en-US"/>
        </w:rPr>
        <w:t>分</w:t>
      </w:r>
      <w:r>
        <w:rPr>
          <w:rFonts w:hint="eastAsia"/>
          <w:lang w:val="en-US" w:eastAsia="zh-CN"/>
        </w:rPr>
        <w:t>包</w:t>
      </w:r>
    </w:p>
    <w:p w14:paraId="6CB07035">
      <w:pPr>
        <w:pStyle w:val="14"/>
        <w:bidi w:val="0"/>
        <w:rPr>
          <w:rFonts w:hint="eastAsia"/>
        </w:rPr>
      </w:pPr>
      <w:r>
        <w:rPr>
          <w:rFonts w:hint="eastAsia"/>
        </w:rPr>
        <w:t>合同的权利义务依法不得转让，但经甲方同意，乙方可以依法采取分包方式履行合同，即：依法可以将合同项下的部分非主体、非关键性工作分包给他人完成，接受分包的人应当具备相应的资格条件，并不得再次分包，且乙方应就分包项目向甲方负责，并与分包供应商就分包项目向甲方承担连带责任</w:t>
      </w:r>
      <w:r>
        <w:rPr>
          <w:rFonts w:hint="eastAsia"/>
          <w:lang w:eastAsia="zh-CN"/>
        </w:rPr>
        <w:t>。</w:t>
      </w:r>
    </w:p>
    <w:p w14:paraId="279CAD72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合同</w:t>
      </w:r>
      <w:r>
        <w:t>变更</w:t>
      </w:r>
      <w:r>
        <w:rPr>
          <w:rFonts w:hint="eastAsia"/>
        </w:rPr>
        <w:t>、</w:t>
      </w:r>
      <w:r>
        <w:rPr>
          <w:rFonts w:hint="eastAsia"/>
          <w:lang w:val="en-US"/>
        </w:rPr>
        <w:t>终</w:t>
      </w:r>
      <w:r>
        <w:rPr>
          <w:rFonts w:hint="eastAsia"/>
          <w:lang w:val="en-US" w:eastAsia="zh-CN"/>
        </w:rPr>
        <w:t>止</w:t>
      </w:r>
    </w:p>
    <w:p w14:paraId="611D0F44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双方当事人不得擅自终止合同</w:t>
      </w:r>
      <w:r>
        <w:rPr>
          <w:rFonts w:hint="eastAsia"/>
          <w:lang w:eastAsia="zh-CN"/>
        </w:rPr>
        <w:t>；</w:t>
      </w:r>
    </w:p>
    <w:p w14:paraId="199DA4B8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双方当事人协商一致</w:t>
      </w:r>
      <w:r>
        <w:rPr>
          <w:rFonts w:hint="eastAsia"/>
          <w:lang w:val="en-US" w:eastAsia="zh-CN"/>
        </w:rPr>
        <w:t>时</w:t>
      </w:r>
      <w:r>
        <w:rPr>
          <w:rFonts w:hint="eastAsia"/>
        </w:rPr>
        <w:t>，可以签订书面补充合同的形式变更合同；</w:t>
      </w:r>
    </w:p>
    <w:p w14:paraId="5F4F266E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/>
        </w:rPr>
        <w:t>不可抗</w:t>
      </w:r>
      <w:r>
        <w:rPr>
          <w:rFonts w:hint="eastAsia"/>
          <w:lang w:val="en-US" w:eastAsia="zh-CN"/>
        </w:rPr>
        <w:t>力</w:t>
      </w:r>
    </w:p>
    <w:p w14:paraId="7AD28379">
      <w:pPr>
        <w:pStyle w:val="15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本合同执行期间，如遇不可抗力，致使合同无法履行时，双方</w:t>
      </w:r>
      <w:r>
        <w:rPr>
          <w:rFonts w:hint="eastAsia"/>
          <w:lang w:val="en-US" w:eastAsia="zh-CN"/>
        </w:rPr>
        <w:t>当事人</w:t>
      </w:r>
      <w:r>
        <w:rPr>
          <w:rFonts w:hint="eastAsia"/>
        </w:rPr>
        <w:t>应按有关法律规定及时协商处理。</w:t>
      </w:r>
    </w:p>
    <w:p w14:paraId="16055497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</w:rPr>
        <w:t>合同争议的</w:t>
      </w:r>
      <w:r>
        <w:rPr>
          <w:rFonts w:hint="eastAsia"/>
          <w:lang w:val="en-US"/>
        </w:rPr>
        <w:t>解决</w:t>
      </w:r>
    </w:p>
    <w:p w14:paraId="1146FE8E">
      <w:pPr>
        <w:pStyle w:val="14"/>
        <w:bidi w:val="0"/>
        <w:rPr>
          <w:rFonts w:hint="eastAsia"/>
          <w:lang w:eastAsia="zh-CN"/>
        </w:rPr>
      </w:pPr>
      <w:r>
        <w:rPr>
          <w:rFonts w:hint="eastAsia"/>
        </w:rPr>
        <w:t>本合同履行过程中发生的任何争议，双方当事人均可通过和解或者调解解决；不愿和解、调解或者和解、调解不成的，可以</w:t>
      </w:r>
      <w:r>
        <w:t>向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highlight w:val="yellow"/>
          <w:u w:val="single"/>
          <w:lang w:val="en-US" w:eastAsia="zh-CN"/>
        </w:rPr>
        <w:t xml:space="preserve">甲方所在地 </w:t>
      </w:r>
      <w:r>
        <w:t>人民法院起诉。</w:t>
      </w:r>
    </w:p>
    <w:p w14:paraId="76FF1974">
      <w:pPr>
        <w:pStyle w:val="16"/>
        <w:bidi w:val="0"/>
        <w:ind w:left="0" w:leftChars="0" w:firstLine="567" w:firstLineChars="0"/>
        <w:rPr>
          <w:rFonts w:hint="eastAsia"/>
          <w:lang w:val="en-US" w:eastAsia="zh-CN"/>
        </w:rPr>
      </w:pPr>
      <w:r>
        <w:rPr>
          <w:rFonts w:hint="eastAsia"/>
        </w:rPr>
        <w:t>合同份</w:t>
      </w:r>
      <w:r>
        <w:rPr>
          <w:rFonts w:hint="eastAsia"/>
          <w:lang w:val="en-US" w:eastAsia="zh-CN"/>
        </w:rPr>
        <w:t>数</w:t>
      </w:r>
    </w:p>
    <w:p w14:paraId="138FBB0A">
      <w:pPr>
        <w:pStyle w:val="14"/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本</w:t>
      </w:r>
      <w:r>
        <w:t>合同</w:t>
      </w:r>
      <w:r>
        <w:rPr>
          <w:rFonts w:hint="eastAsia"/>
          <w:lang w:val="en-US" w:eastAsia="zh-CN"/>
        </w:rPr>
        <w:t>壹式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highlight w:val="yellow"/>
          <w:u w:val="single"/>
          <w:lang w:val="en-US" w:eastAsia="zh-CN"/>
        </w:rPr>
        <w:t xml:space="preserve">  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lang w:val="en-US" w:eastAsia="zh-CN"/>
        </w:rPr>
        <w:t>份，甲方持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highlight w:val="yellow"/>
          <w:u w:val="single"/>
          <w:lang w:val="en-US" w:eastAsia="zh-CN"/>
        </w:rPr>
        <w:t>叁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lang w:val="en-US" w:eastAsia="zh-CN"/>
        </w:rPr>
        <w:t>份，乙方持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highlight w:val="yellow"/>
          <w:u w:val="single"/>
          <w:lang w:val="en-US" w:eastAsia="zh-CN"/>
        </w:rPr>
        <w:t xml:space="preserve">  </w:t>
      </w:r>
      <w:r>
        <w:rPr>
          <w:rFonts w:hint="eastAsia"/>
          <w:highlight w:val="yellow"/>
          <w:u w:val="single"/>
          <w:lang w:eastAsia="zh-CN"/>
        </w:rPr>
        <w:t xml:space="preserve"> </w:t>
      </w:r>
      <w:r>
        <w:rPr>
          <w:rFonts w:hint="eastAsia"/>
          <w:lang w:val="en-US" w:eastAsia="zh-CN"/>
        </w:rPr>
        <w:t>份。</w:t>
      </w:r>
    </w:p>
    <w:p w14:paraId="02CEB599">
      <w:pPr>
        <w:pStyle w:val="16"/>
        <w:bidi w:val="0"/>
        <w:ind w:left="0" w:leftChars="0" w:firstLine="567" w:firstLineChars="0"/>
        <w:rPr>
          <w:rFonts w:hint="eastAsia"/>
        </w:rPr>
      </w:pPr>
      <w:r>
        <w:rPr>
          <w:rFonts w:hint="eastAsia"/>
          <w:lang w:val="en-US" w:eastAsia="zh-CN"/>
        </w:rPr>
        <w:t>合同生效、续签</w:t>
      </w:r>
    </w:p>
    <w:p w14:paraId="3752FE54">
      <w:pPr>
        <w:pStyle w:val="14"/>
        <w:bidi w:val="0"/>
        <w:rPr>
          <w:rFonts w:hint="eastAsia"/>
          <w:lang w:eastAsia="zh-CN"/>
        </w:rPr>
      </w:pPr>
      <w:r>
        <w:rPr>
          <w:rFonts w:hint="eastAsia"/>
        </w:rPr>
        <w:t>本合同</w:t>
      </w:r>
      <w:r>
        <w:rPr>
          <w:rFonts w:hint="eastAsia"/>
          <w:u w:val="none"/>
          <w:lang w:val="en-US" w:eastAsia="zh-CN"/>
        </w:rPr>
        <w:t>签订于</w:t>
      </w:r>
      <w:r>
        <w:rPr>
          <w:rFonts w:hint="eastAsia"/>
          <w:highlight w:val="yellow"/>
          <w:u w:val="single"/>
          <w:lang w:val="en-US" w:eastAsia="zh-CN"/>
        </w:rPr>
        <w:t xml:space="preserve">     </w:t>
      </w:r>
      <w:r>
        <w:rPr>
          <w:rFonts w:hint="eastAsia"/>
          <w:lang w:val="en-US" w:eastAsia="zh-CN"/>
        </w:rPr>
        <w:t>年</w:t>
      </w:r>
      <w:r>
        <w:rPr>
          <w:rFonts w:hint="eastAsia"/>
          <w:highlight w:val="yellow"/>
          <w:u w:val="single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>月</w:t>
      </w:r>
      <w:r>
        <w:rPr>
          <w:rFonts w:hint="eastAsia"/>
          <w:highlight w:val="yellow"/>
          <w:u w:val="single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>日，签订地点位于</w:t>
      </w:r>
      <w:r>
        <w:rPr>
          <w:rFonts w:hint="eastAsia"/>
          <w:highlight w:val="yellow"/>
          <w:u w:val="single"/>
          <w:lang w:val="en-US" w:eastAsia="zh-CN"/>
        </w:rPr>
        <w:t xml:space="preserve">            </w:t>
      </w:r>
      <w:r>
        <w:rPr>
          <w:rFonts w:hint="eastAsia"/>
          <w:lang w:val="en-US" w:eastAsia="zh-CN"/>
        </w:rPr>
        <w:t>，</w:t>
      </w:r>
      <w:r>
        <w:rPr>
          <w:rFonts w:hint="eastAsia"/>
        </w:rPr>
        <w:t>自</w:t>
      </w:r>
      <w:r>
        <w:rPr>
          <w:rFonts w:hint="eastAsia"/>
          <w:lang w:val="en-US" w:eastAsia="zh-CN"/>
        </w:rPr>
        <w:t>甲乙</w:t>
      </w:r>
      <w:r>
        <w:rPr>
          <w:rFonts w:hint="eastAsia"/>
        </w:rPr>
        <w:t>双方盖章</w:t>
      </w:r>
      <w:r>
        <w:rPr>
          <w:rFonts w:hint="eastAsia"/>
          <w:lang w:val="en-US" w:eastAsia="zh-CN"/>
        </w:rPr>
        <w:t>后</w:t>
      </w:r>
      <w:r>
        <w:rPr>
          <w:rFonts w:hint="eastAsia"/>
        </w:rPr>
        <w:t>生效。</w:t>
      </w:r>
      <w:r>
        <w:rPr>
          <w:rFonts w:hint="eastAsia"/>
          <w:lang w:val="en-US" w:eastAsia="zh-CN"/>
        </w:rPr>
        <w:t>如乙方履约情况良好，经双方协商一致，本合同可续签一年，累计续签不超过二年</w:t>
      </w:r>
      <w:r>
        <w:rPr>
          <w:rFonts w:hint="eastAsia"/>
        </w:rPr>
        <w:t>。</w:t>
      </w:r>
    </w:p>
    <w:p w14:paraId="5C524A54">
      <w:pPr>
        <w:pStyle w:val="14"/>
        <w:bidi w:val="0"/>
        <w:rPr>
          <w:rFonts w:hint="eastAsia"/>
          <w:lang w:eastAsia="zh-CN"/>
        </w:rPr>
      </w:pPr>
    </w:p>
    <w:tbl>
      <w:tblPr>
        <w:tblStyle w:val="9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8"/>
        <w:gridCol w:w="4428"/>
      </w:tblGrid>
      <w:tr w14:paraId="27ADA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  <w:jc w:val="center"/>
        </w:trPr>
        <w:tc>
          <w:tcPr>
            <w:tcW w:w="4428" w:type="dxa"/>
            <w:tcBorders>
              <w:tl2br w:val="nil"/>
              <w:tr2bl w:val="nil"/>
            </w:tcBorders>
            <w:vAlign w:val="bottom"/>
          </w:tcPr>
          <w:p w14:paraId="09189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Style w:val="13"/>
                <w:rFonts w:hint="eastAsia"/>
                <w:highlight w:val="none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甲方：</w:t>
            </w:r>
            <w:r>
              <w:rPr>
                <w:rStyle w:val="13"/>
                <w:rFonts w:hint="eastAsia"/>
                <w:highlight w:val="none"/>
                <w:u w:val="single"/>
                <w:lang w:val="en-US"/>
              </w:rPr>
              <w:t xml:space="preserve">    </w:t>
            </w:r>
            <w:r>
              <w:rPr>
                <w:rStyle w:val="13"/>
                <w:rFonts w:hint="eastAsia"/>
                <w:highlight w:val="none"/>
                <w:u w:val="single"/>
                <w:lang w:val="zh-CN"/>
              </w:rPr>
              <w:t>（单位盖章）</w:t>
            </w:r>
            <w:r>
              <w:rPr>
                <w:rStyle w:val="13"/>
                <w:rFonts w:hint="eastAsia"/>
                <w:highlight w:val="none"/>
                <w:u w:val="single"/>
                <w:lang w:val="en-US"/>
              </w:rPr>
              <w:t xml:space="preserve">     </w:t>
            </w:r>
          </w:p>
          <w:p w14:paraId="38910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法定代表人</w:t>
            </w:r>
          </w:p>
          <w:p w14:paraId="4D732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或授权代表（签字）：</w:t>
            </w:r>
          </w:p>
          <w:p w14:paraId="165AC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时间：</w:t>
            </w:r>
            <w:r>
              <w:rPr>
                <w:rStyle w:val="13"/>
                <w:rFonts w:hint="eastAsia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年</w:t>
            </w:r>
            <w:r>
              <w:rPr>
                <w:rStyle w:val="13"/>
                <w:rFonts w:hint="eastAsia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月</w:t>
            </w:r>
            <w:r>
              <w:rPr>
                <w:rStyle w:val="13"/>
                <w:rFonts w:hint="eastAsia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日</w:t>
            </w:r>
          </w:p>
        </w:tc>
        <w:tc>
          <w:tcPr>
            <w:tcW w:w="4428" w:type="dxa"/>
            <w:tcBorders>
              <w:tl2br w:val="nil"/>
              <w:tr2bl w:val="nil"/>
            </w:tcBorders>
            <w:vAlign w:val="bottom"/>
          </w:tcPr>
          <w:p w14:paraId="31417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Style w:val="13"/>
                <w:rFonts w:hint="eastAsia"/>
                <w:highlight w:val="none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 w:bidi="zh-CN"/>
              </w:rPr>
              <w:t>乙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方：</w:t>
            </w:r>
            <w:r>
              <w:rPr>
                <w:rStyle w:val="13"/>
                <w:rFonts w:hint="eastAsia"/>
                <w:highlight w:val="none"/>
                <w:u w:val="single"/>
                <w:lang w:val="en-US"/>
              </w:rPr>
              <w:t xml:space="preserve">    </w:t>
            </w:r>
            <w:r>
              <w:rPr>
                <w:rStyle w:val="13"/>
                <w:rFonts w:hint="eastAsia"/>
                <w:highlight w:val="none"/>
                <w:u w:val="single"/>
                <w:lang w:val="zh-CN"/>
              </w:rPr>
              <w:t>（单位盖章）</w:t>
            </w:r>
            <w:r>
              <w:rPr>
                <w:rStyle w:val="13"/>
                <w:rFonts w:hint="eastAsia"/>
                <w:highlight w:val="none"/>
                <w:u w:val="single"/>
                <w:lang w:val="en-US"/>
              </w:rPr>
              <w:t xml:space="preserve">     </w:t>
            </w:r>
          </w:p>
          <w:p w14:paraId="24A42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法定代表人</w:t>
            </w:r>
          </w:p>
          <w:p w14:paraId="67D0A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或授权代表（签字）：</w:t>
            </w:r>
          </w:p>
          <w:p w14:paraId="4EFCD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时间：</w:t>
            </w:r>
            <w:r>
              <w:rPr>
                <w:rStyle w:val="13"/>
                <w:rFonts w:hint="eastAsia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年</w:t>
            </w:r>
            <w:r>
              <w:rPr>
                <w:rStyle w:val="13"/>
                <w:rFonts w:hint="eastAsia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月</w:t>
            </w:r>
            <w:r>
              <w:rPr>
                <w:rStyle w:val="13"/>
                <w:rFonts w:hint="eastAsia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日</w:t>
            </w:r>
          </w:p>
        </w:tc>
      </w:tr>
      <w:tr w14:paraId="73641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4428" w:type="dxa"/>
            <w:tcBorders>
              <w:tl2br w:val="nil"/>
              <w:tr2bl w:val="nil"/>
            </w:tcBorders>
            <w:vAlign w:val="bottom"/>
          </w:tcPr>
          <w:p w14:paraId="58320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</w:p>
        </w:tc>
        <w:tc>
          <w:tcPr>
            <w:tcW w:w="4428" w:type="dxa"/>
            <w:tcBorders>
              <w:tl2br w:val="nil"/>
              <w:tr2bl w:val="nil"/>
            </w:tcBorders>
            <w:vAlign w:val="bottom"/>
          </w:tcPr>
          <w:p w14:paraId="6D82350A">
            <w:pPr>
              <w:spacing w:before="0" w:after="0" w:line="440" w:lineRule="exact"/>
              <w:ind w:left="0" w:right="0"/>
              <w:jc w:val="both"/>
              <w:rPr>
                <w:sz w:val="24"/>
                <w:szCs w:val="24"/>
                <w:highlight w:val="none"/>
                <w:lang w:val="en-US" w:bidi="ar-SA"/>
              </w:rPr>
            </w:pPr>
            <w:r>
              <w:rPr>
                <w:sz w:val="24"/>
                <w:szCs w:val="24"/>
                <w:highlight w:val="none"/>
                <w:lang w:val="en-US" w:bidi="ar-SA"/>
              </w:rPr>
              <w:t>乙方账户信息</w:t>
            </w:r>
          </w:p>
          <w:p w14:paraId="1131B734">
            <w:pPr>
              <w:spacing w:before="0" w:after="0" w:line="440" w:lineRule="exact"/>
              <w:ind w:left="0" w:right="0"/>
              <w:jc w:val="both"/>
              <w:rPr>
                <w:rFonts w:hint="eastAsia" w:eastAsia="宋体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sz w:val="24"/>
                <w:szCs w:val="24"/>
                <w:highlight w:val="none"/>
                <w:lang w:val="en-US" w:bidi="ar-SA"/>
              </w:rPr>
              <w:t>户名：</w:t>
            </w:r>
            <w:r>
              <w:rPr>
                <w:rStyle w:val="13"/>
                <w:rFonts w:hint="eastAsia"/>
                <w:highlight w:val="none"/>
                <w:u w:val="single"/>
                <w:lang w:val="en-US" w:eastAsia="zh-CN"/>
              </w:rPr>
              <w:t xml:space="preserve">                      </w:t>
            </w:r>
          </w:p>
          <w:p w14:paraId="3CD55C89">
            <w:pPr>
              <w:spacing w:before="0" w:after="0" w:line="440" w:lineRule="exact"/>
              <w:ind w:left="0" w:right="0"/>
              <w:jc w:val="both"/>
              <w:rPr>
                <w:rFonts w:hint="eastAsia" w:eastAsia="宋体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sz w:val="24"/>
                <w:szCs w:val="24"/>
                <w:highlight w:val="none"/>
                <w:lang w:val="en-US" w:bidi="ar-SA"/>
              </w:rPr>
              <w:t>账号：</w:t>
            </w:r>
            <w:r>
              <w:rPr>
                <w:rStyle w:val="13"/>
                <w:rFonts w:hint="eastAsia"/>
                <w:highlight w:val="none"/>
                <w:u w:val="single"/>
                <w:lang w:val="en-US" w:eastAsia="zh-CN"/>
              </w:rPr>
              <w:t xml:space="preserve">                      </w:t>
            </w:r>
          </w:p>
          <w:p w14:paraId="21304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sz w:val="24"/>
                <w:szCs w:val="24"/>
                <w:highlight w:val="none"/>
                <w:lang w:val="en-US" w:bidi="ar-SA"/>
              </w:rPr>
              <w:t>开户银行：</w:t>
            </w:r>
            <w:r>
              <w:rPr>
                <w:rStyle w:val="13"/>
                <w:rFonts w:hint="eastAsia"/>
                <w:highlight w:val="none"/>
                <w:u w:val="single"/>
                <w:lang w:val="en-US" w:eastAsia="zh-CN"/>
              </w:rPr>
              <w:t xml:space="preserve">                  </w:t>
            </w:r>
          </w:p>
        </w:tc>
      </w:tr>
    </w:tbl>
    <w:p w14:paraId="050042AD">
      <w:pPr>
        <w:rPr>
          <w:rFonts w:hint="eastAsia"/>
        </w:rPr>
      </w:pPr>
      <w:bookmarkStart w:id="3" w:name="_bookmark5"/>
      <w:bookmarkEnd w:id="3"/>
    </w:p>
    <w:sectPr>
      <w:footerReference r:id="rId6" w:type="default"/>
      <w:pgSz w:w="11910" w:h="16840"/>
      <w:pgMar w:top="1417" w:right="1417" w:bottom="1417" w:left="1417" w:header="877" w:footer="1020" w:gutter="0"/>
      <w:pgNumType w:fmt="chineseCounting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25E67">
    <w:pPr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4D7EF7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\* CHINESENUM3 \* MERGEFORMAT </w:instrText>
                          </w:r>
                          <w:r>
                            <w:fldChar w:fldCharType="separate"/>
                          </w:r>
                          <w:r>
                            <w:t>五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4D7EF7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\* CHINESENUM3 \* MERGEFORMAT </w:instrText>
                    </w:r>
                    <w:r>
                      <w:fldChar w:fldCharType="separate"/>
                    </w:r>
                    <w:r>
                      <w:t>五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D340C">
    <w:pPr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50759D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一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\* CHINESENUM3 \* MERGEFORMAT </w:instrText>
                          </w:r>
                          <w:r>
                            <w:fldChar w:fldCharType="separate"/>
                          </w:r>
                          <w:r>
                            <w:t>五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50759D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一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\* CHINESENUM3 \* MERGEFORMAT </w:instrText>
                    </w:r>
                    <w:r>
                      <w:fldChar w:fldCharType="separate"/>
                    </w:r>
                    <w:r>
                      <w:t>五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D2EC5D"/>
    <w:multiLevelType w:val="multilevel"/>
    <w:tmpl w:val="10D2EC5D"/>
    <w:lvl w:ilvl="0" w:tentative="0">
      <w:start w:val="1"/>
      <w:numFmt w:val="chineseCounting"/>
      <w:pStyle w:val="17"/>
      <w:suff w:val="nothing"/>
      <w:lvlText w:val="第%1部分 "/>
      <w:lvlJc w:val="left"/>
      <w:pPr>
        <w:tabs>
          <w:tab w:val="left" w:pos="420"/>
        </w:tabs>
        <w:ind w:left="0" w:leftChars="0" w:firstLine="0" w:firstLineChars="0"/>
        <w:jc w:val="left"/>
      </w:pPr>
      <w:rPr>
        <w:rFonts w:hint="eastAsia" w:ascii="宋体" w:hAnsi="宋体" w:eastAsia="宋体" w:cs="宋体"/>
      </w:rPr>
    </w:lvl>
    <w:lvl w:ilvl="1" w:tentative="0">
      <w:start w:val="1"/>
      <w:numFmt w:val="decimal"/>
      <w:pStyle w:val="16"/>
      <w:isLgl/>
      <w:suff w:val="nothing"/>
      <w:lvlText w:val="%2 "/>
      <w:lvlJc w:val="left"/>
      <w:pPr>
        <w:tabs>
          <w:tab w:val="left" w:pos="0"/>
        </w:tabs>
        <w:ind w:left="0" w:leftChars="0" w:firstLine="567" w:firstLineChars="0"/>
        <w:jc w:val="left"/>
      </w:pPr>
      <w:rPr>
        <w:rFonts w:hint="eastAsia" w:ascii="宋体" w:hAnsi="宋体" w:eastAsia="宋体" w:cs="宋体"/>
        <w:b/>
        <w:bCs/>
        <w:spacing w:val="0"/>
        <w:w w:val="99"/>
        <w:sz w:val="24"/>
        <w:szCs w:val="24"/>
      </w:rPr>
    </w:lvl>
    <w:lvl w:ilvl="2" w:tentative="0">
      <w:start w:val="1"/>
      <w:numFmt w:val="decimal"/>
      <w:pStyle w:val="15"/>
      <w:isLgl/>
      <w:suff w:val="nothing"/>
      <w:lvlText w:val="%2.%3 "/>
      <w:lvlJc w:val="left"/>
      <w:pPr>
        <w:tabs>
          <w:tab w:val="left" w:pos="0"/>
        </w:tabs>
        <w:ind w:left="0" w:leftChars="0" w:firstLine="567" w:firstLineChars="0"/>
        <w:jc w:val="left"/>
      </w:pPr>
      <w:rPr>
        <w:rFonts w:hint="eastAsia" w:ascii="宋体" w:hAnsi="宋体" w:eastAsia="宋体" w:cs="宋体"/>
        <w:w w:val="100"/>
        <w:sz w:val="24"/>
        <w:szCs w:val="24"/>
      </w:rPr>
    </w:lvl>
    <w:lvl w:ilvl="3" w:tentative="0">
      <w:start w:val="0"/>
      <w:numFmt w:val="bullet"/>
      <w:lvlText w:val="•"/>
      <w:lvlJc w:val="left"/>
      <w:pPr>
        <w:tabs>
          <w:tab w:val="left" w:pos="420"/>
        </w:tabs>
        <w:ind w:left="2428" w:hanging="660"/>
      </w:pPr>
      <w:rPr>
        <w:rFonts w:hint="eastAsia" w:ascii="宋体" w:hAnsi="宋体" w:eastAsia="宋体" w:cs="宋体"/>
      </w:rPr>
    </w:lvl>
    <w:lvl w:ilvl="4" w:tentative="0">
      <w:start w:val="0"/>
      <w:numFmt w:val="bullet"/>
      <w:lvlText w:val="•"/>
      <w:lvlJc w:val="left"/>
      <w:pPr>
        <w:ind w:left="3376" w:hanging="660"/>
      </w:pPr>
      <w:rPr>
        <w:rFonts w:hint="eastAsia"/>
      </w:rPr>
    </w:lvl>
    <w:lvl w:ilvl="5" w:tentative="0">
      <w:start w:val="0"/>
      <w:numFmt w:val="bullet"/>
      <w:lvlText w:val="•"/>
      <w:lvlJc w:val="left"/>
      <w:pPr>
        <w:ind w:left="4324" w:hanging="660"/>
      </w:pPr>
      <w:rPr>
        <w:rFonts w:hint="eastAsia"/>
      </w:rPr>
    </w:lvl>
    <w:lvl w:ilvl="6" w:tentative="0">
      <w:start w:val="0"/>
      <w:numFmt w:val="bullet"/>
      <w:lvlText w:val="•"/>
      <w:lvlJc w:val="left"/>
      <w:pPr>
        <w:ind w:left="5273" w:hanging="660"/>
      </w:pPr>
      <w:rPr>
        <w:rFonts w:hint="eastAsia"/>
      </w:rPr>
    </w:lvl>
    <w:lvl w:ilvl="7" w:tentative="0">
      <w:start w:val="0"/>
      <w:numFmt w:val="bullet"/>
      <w:lvlText w:val="•"/>
      <w:lvlJc w:val="left"/>
      <w:pPr>
        <w:ind w:left="6221" w:hanging="660"/>
      </w:pPr>
      <w:rPr>
        <w:rFonts w:hint="eastAsia"/>
      </w:rPr>
    </w:lvl>
    <w:lvl w:ilvl="8" w:tentative="0">
      <w:start w:val="0"/>
      <w:numFmt w:val="bullet"/>
      <w:lvlText w:val="•"/>
      <w:lvlJc w:val="left"/>
      <w:pPr>
        <w:ind w:left="7169" w:hanging="660"/>
      </w:pPr>
      <w:rPr>
        <w:rFonts w:hint="eastAsia"/>
      </w:rPr>
    </w:lvl>
  </w:abstractNum>
  <w:abstractNum w:abstractNumId="1">
    <w:nsid w:val="1A4A3690"/>
    <w:multiLevelType w:val="multilevel"/>
    <w:tmpl w:val="1A4A3690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pStyle w:val="20"/>
      <w:lvlText w:val="%1.%2"/>
      <w:lvlJc w:val="left"/>
      <w:pPr>
        <w:ind w:left="96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6000" w:hanging="2160"/>
      </w:pPr>
      <w:rPr>
        <w:rFonts w:hint="default"/>
      </w:rPr>
    </w:lvl>
  </w:abstractNum>
  <w:abstractNum w:abstractNumId="2">
    <w:nsid w:val="5EA5F1F5"/>
    <w:multiLevelType w:val="multilevel"/>
    <w:tmpl w:val="5EA5F1F5"/>
    <w:lvl w:ilvl="0" w:tentative="0">
      <w:start w:val="1"/>
      <w:numFmt w:val="chineseCounting"/>
      <w:suff w:val="space"/>
      <w:lvlText w:val="第%1部分"/>
      <w:lvlJc w:val="left"/>
      <w:pPr>
        <w:tabs>
          <w:tab w:val="left" w:pos="0"/>
        </w:tabs>
        <w:ind w:left="0" w:leftChars="0" w:firstLine="0" w:firstLineChars="0"/>
        <w:jc w:val="left"/>
      </w:pPr>
      <w:rPr>
        <w:rFonts w:hint="eastAsia" w:ascii="宋体" w:hAnsi="宋体" w:eastAsia="宋体" w:cs="宋体"/>
      </w:rPr>
    </w:lvl>
    <w:lvl w:ilvl="1" w:tentative="0">
      <w:start w:val="1"/>
      <w:numFmt w:val="decimal"/>
      <w:isLgl/>
      <w:suff w:val="space"/>
      <w:lvlText w:val="%1.%2"/>
      <w:lvlJc w:val="left"/>
      <w:pPr>
        <w:tabs>
          <w:tab w:val="left" w:pos="0"/>
        </w:tabs>
        <w:ind w:left="0" w:leftChars="0" w:firstLine="816" w:firstLineChars="0"/>
        <w:jc w:val="left"/>
      </w:pPr>
      <w:rPr>
        <w:rFonts w:hint="eastAsia" w:ascii="宋体" w:hAnsi="宋体" w:eastAsia="宋体" w:cs="宋体"/>
        <w:b/>
        <w:bCs/>
        <w:spacing w:val="0"/>
        <w:w w:val="99"/>
        <w:sz w:val="24"/>
        <w:szCs w:val="24"/>
      </w:rPr>
    </w:lvl>
    <w:lvl w:ilvl="2" w:tentative="0">
      <w:start w:val="1"/>
      <w:numFmt w:val="decimal"/>
      <w:pStyle w:val="19"/>
      <w:isLgl/>
      <w:suff w:val="space"/>
      <w:lvlText w:val="%1.%2.%3"/>
      <w:lvlJc w:val="left"/>
      <w:pPr>
        <w:tabs>
          <w:tab w:val="left" w:pos="420"/>
        </w:tabs>
        <w:ind w:left="0" w:leftChars="0" w:firstLine="814" w:firstLineChars="0"/>
        <w:jc w:val="left"/>
      </w:pPr>
      <w:rPr>
        <w:rFonts w:hint="eastAsia" w:ascii="宋体" w:hAnsi="宋体" w:eastAsia="宋体" w:cs="宋体"/>
        <w:w w:val="100"/>
        <w:sz w:val="24"/>
        <w:szCs w:val="24"/>
      </w:rPr>
    </w:lvl>
    <w:lvl w:ilvl="3" w:tentative="0">
      <w:start w:val="0"/>
      <w:numFmt w:val="bullet"/>
      <w:lvlText w:val="•"/>
      <w:lvlJc w:val="left"/>
      <w:pPr>
        <w:tabs>
          <w:tab w:val="left" w:pos="420"/>
        </w:tabs>
        <w:ind w:left="2428" w:hanging="660"/>
      </w:pPr>
      <w:rPr>
        <w:rFonts w:hint="eastAsia" w:ascii="宋体" w:hAnsi="宋体" w:eastAsia="宋体" w:cs="宋体"/>
      </w:rPr>
    </w:lvl>
    <w:lvl w:ilvl="4" w:tentative="0">
      <w:start w:val="0"/>
      <w:numFmt w:val="bullet"/>
      <w:lvlText w:val="•"/>
      <w:lvlJc w:val="left"/>
      <w:pPr>
        <w:ind w:left="3376" w:hanging="660"/>
      </w:pPr>
      <w:rPr>
        <w:rFonts w:hint="eastAsia"/>
      </w:rPr>
    </w:lvl>
    <w:lvl w:ilvl="5" w:tentative="0">
      <w:start w:val="0"/>
      <w:numFmt w:val="bullet"/>
      <w:lvlText w:val="•"/>
      <w:lvlJc w:val="left"/>
      <w:pPr>
        <w:ind w:left="4324" w:hanging="660"/>
      </w:pPr>
      <w:rPr>
        <w:rFonts w:hint="eastAsia"/>
      </w:rPr>
    </w:lvl>
    <w:lvl w:ilvl="6" w:tentative="0">
      <w:start w:val="0"/>
      <w:numFmt w:val="bullet"/>
      <w:lvlText w:val="•"/>
      <w:lvlJc w:val="left"/>
      <w:pPr>
        <w:ind w:left="5273" w:hanging="660"/>
      </w:pPr>
      <w:rPr>
        <w:rFonts w:hint="eastAsia"/>
      </w:rPr>
    </w:lvl>
    <w:lvl w:ilvl="7" w:tentative="0">
      <w:start w:val="0"/>
      <w:numFmt w:val="bullet"/>
      <w:lvlText w:val="•"/>
      <w:lvlJc w:val="left"/>
      <w:pPr>
        <w:ind w:left="6221" w:hanging="660"/>
      </w:pPr>
      <w:rPr>
        <w:rFonts w:hint="eastAsia"/>
      </w:rPr>
    </w:lvl>
    <w:lvl w:ilvl="8" w:tentative="0">
      <w:start w:val="0"/>
      <w:numFmt w:val="bullet"/>
      <w:lvlText w:val="•"/>
      <w:lvlJc w:val="left"/>
      <w:pPr>
        <w:ind w:left="7169" w:hanging="66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0"/>
  <w:displayVertic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MzdiNDBiYjlhOTU1OTE0NmMxYjlkMWE2Y2ViYWQifQ=="/>
  </w:docVars>
  <w:rsids>
    <w:rsidRoot w:val="00000000"/>
    <w:rsid w:val="006A3375"/>
    <w:rsid w:val="00C160BE"/>
    <w:rsid w:val="00D55992"/>
    <w:rsid w:val="00DF270A"/>
    <w:rsid w:val="01C03C35"/>
    <w:rsid w:val="01E054EB"/>
    <w:rsid w:val="01FB2325"/>
    <w:rsid w:val="02B12726"/>
    <w:rsid w:val="02B349AE"/>
    <w:rsid w:val="033C0E47"/>
    <w:rsid w:val="043A35D9"/>
    <w:rsid w:val="0592012C"/>
    <w:rsid w:val="059D3E1F"/>
    <w:rsid w:val="06436049"/>
    <w:rsid w:val="07014C76"/>
    <w:rsid w:val="072A5AB1"/>
    <w:rsid w:val="07A14C1D"/>
    <w:rsid w:val="084B1D3D"/>
    <w:rsid w:val="085A5FF7"/>
    <w:rsid w:val="096609CC"/>
    <w:rsid w:val="09810E58"/>
    <w:rsid w:val="09CB16BA"/>
    <w:rsid w:val="0B140DDB"/>
    <w:rsid w:val="0B723658"/>
    <w:rsid w:val="0C1B3CF0"/>
    <w:rsid w:val="0CDB3C3E"/>
    <w:rsid w:val="0CF05829"/>
    <w:rsid w:val="0DE17F09"/>
    <w:rsid w:val="0F190E46"/>
    <w:rsid w:val="0F667C55"/>
    <w:rsid w:val="0F8C11BF"/>
    <w:rsid w:val="104F3BE6"/>
    <w:rsid w:val="10CE0ECA"/>
    <w:rsid w:val="117F262B"/>
    <w:rsid w:val="118714DF"/>
    <w:rsid w:val="11DC0C6C"/>
    <w:rsid w:val="11EE77B0"/>
    <w:rsid w:val="128D0D77"/>
    <w:rsid w:val="12ED7A68"/>
    <w:rsid w:val="12FC587E"/>
    <w:rsid w:val="138979FF"/>
    <w:rsid w:val="13912AE9"/>
    <w:rsid w:val="140A7D4D"/>
    <w:rsid w:val="143830A9"/>
    <w:rsid w:val="14673364"/>
    <w:rsid w:val="14CD5DA3"/>
    <w:rsid w:val="15D02802"/>
    <w:rsid w:val="15E0577B"/>
    <w:rsid w:val="15F1786F"/>
    <w:rsid w:val="16351E52"/>
    <w:rsid w:val="16F74D42"/>
    <w:rsid w:val="17101F77"/>
    <w:rsid w:val="17A94352"/>
    <w:rsid w:val="17FB1096"/>
    <w:rsid w:val="187F71AE"/>
    <w:rsid w:val="18D019BE"/>
    <w:rsid w:val="194B192D"/>
    <w:rsid w:val="194D5818"/>
    <w:rsid w:val="198F3627"/>
    <w:rsid w:val="19DF151F"/>
    <w:rsid w:val="1A420699"/>
    <w:rsid w:val="1B7725C5"/>
    <w:rsid w:val="1BB90E2F"/>
    <w:rsid w:val="1BC9738A"/>
    <w:rsid w:val="1C8F0052"/>
    <w:rsid w:val="1D223015"/>
    <w:rsid w:val="1D246914"/>
    <w:rsid w:val="1D917DC7"/>
    <w:rsid w:val="1DF26D30"/>
    <w:rsid w:val="1EF67CA4"/>
    <w:rsid w:val="1FCD2A8D"/>
    <w:rsid w:val="1FF81FA6"/>
    <w:rsid w:val="20336E9D"/>
    <w:rsid w:val="2052571F"/>
    <w:rsid w:val="222C1D3E"/>
    <w:rsid w:val="229E6057"/>
    <w:rsid w:val="22B02C88"/>
    <w:rsid w:val="22BE43A9"/>
    <w:rsid w:val="23144B9D"/>
    <w:rsid w:val="23667A39"/>
    <w:rsid w:val="23A61C99"/>
    <w:rsid w:val="23DE1205"/>
    <w:rsid w:val="23E17175"/>
    <w:rsid w:val="24E76A0D"/>
    <w:rsid w:val="251956B6"/>
    <w:rsid w:val="25C805EC"/>
    <w:rsid w:val="25D0509C"/>
    <w:rsid w:val="25FE400E"/>
    <w:rsid w:val="262B46D7"/>
    <w:rsid w:val="265E2953"/>
    <w:rsid w:val="26CC7C68"/>
    <w:rsid w:val="2735035C"/>
    <w:rsid w:val="27894419"/>
    <w:rsid w:val="279A234C"/>
    <w:rsid w:val="27C070C8"/>
    <w:rsid w:val="28665890"/>
    <w:rsid w:val="287A616F"/>
    <w:rsid w:val="28F61252"/>
    <w:rsid w:val="291E69B1"/>
    <w:rsid w:val="29A36341"/>
    <w:rsid w:val="29B5157E"/>
    <w:rsid w:val="29C23449"/>
    <w:rsid w:val="29DA6CD0"/>
    <w:rsid w:val="2A3675D9"/>
    <w:rsid w:val="2A444A48"/>
    <w:rsid w:val="2A81520E"/>
    <w:rsid w:val="2AB54EB7"/>
    <w:rsid w:val="2B282726"/>
    <w:rsid w:val="2B40722F"/>
    <w:rsid w:val="2B8534D0"/>
    <w:rsid w:val="2D285E15"/>
    <w:rsid w:val="2D727090"/>
    <w:rsid w:val="2D880BA8"/>
    <w:rsid w:val="2E24038A"/>
    <w:rsid w:val="2F2F1725"/>
    <w:rsid w:val="2FB22344"/>
    <w:rsid w:val="30151A67"/>
    <w:rsid w:val="30920A7F"/>
    <w:rsid w:val="315F1A1E"/>
    <w:rsid w:val="31DC06DD"/>
    <w:rsid w:val="322A5E43"/>
    <w:rsid w:val="324E552E"/>
    <w:rsid w:val="32862B49"/>
    <w:rsid w:val="32AA4DAA"/>
    <w:rsid w:val="339A032E"/>
    <w:rsid w:val="346A72F7"/>
    <w:rsid w:val="348C55CC"/>
    <w:rsid w:val="34E92F3F"/>
    <w:rsid w:val="358636D8"/>
    <w:rsid w:val="35A80BFB"/>
    <w:rsid w:val="374F6B69"/>
    <w:rsid w:val="377F2AD5"/>
    <w:rsid w:val="37A00050"/>
    <w:rsid w:val="37A908E9"/>
    <w:rsid w:val="37BF7375"/>
    <w:rsid w:val="38084878"/>
    <w:rsid w:val="38172D0E"/>
    <w:rsid w:val="387F7796"/>
    <w:rsid w:val="3A0D52F1"/>
    <w:rsid w:val="3A192D6D"/>
    <w:rsid w:val="3A4A73CA"/>
    <w:rsid w:val="3B6C15C2"/>
    <w:rsid w:val="3C073099"/>
    <w:rsid w:val="3C1F6635"/>
    <w:rsid w:val="3CEB3916"/>
    <w:rsid w:val="3D9143E5"/>
    <w:rsid w:val="3DB83C74"/>
    <w:rsid w:val="3DE63595"/>
    <w:rsid w:val="3EAB4E3F"/>
    <w:rsid w:val="3EE56F5D"/>
    <w:rsid w:val="3F7171A7"/>
    <w:rsid w:val="3F9A39E8"/>
    <w:rsid w:val="3FB452E6"/>
    <w:rsid w:val="3FC91A93"/>
    <w:rsid w:val="411D21CA"/>
    <w:rsid w:val="41795331"/>
    <w:rsid w:val="419929E5"/>
    <w:rsid w:val="41C728F7"/>
    <w:rsid w:val="43917E18"/>
    <w:rsid w:val="43B75E62"/>
    <w:rsid w:val="43E47415"/>
    <w:rsid w:val="45010778"/>
    <w:rsid w:val="46623CEE"/>
    <w:rsid w:val="46E666CD"/>
    <w:rsid w:val="46EB5D86"/>
    <w:rsid w:val="46F85BA4"/>
    <w:rsid w:val="47753F8D"/>
    <w:rsid w:val="480B3421"/>
    <w:rsid w:val="49031B7D"/>
    <w:rsid w:val="49090BC2"/>
    <w:rsid w:val="496C3D5B"/>
    <w:rsid w:val="49837164"/>
    <w:rsid w:val="49935F6C"/>
    <w:rsid w:val="49ED55E1"/>
    <w:rsid w:val="49F7763B"/>
    <w:rsid w:val="4AC62A9D"/>
    <w:rsid w:val="4B2A1374"/>
    <w:rsid w:val="4B8D6005"/>
    <w:rsid w:val="4BB53427"/>
    <w:rsid w:val="4C382EC4"/>
    <w:rsid w:val="4C5F726F"/>
    <w:rsid w:val="4D4E28D6"/>
    <w:rsid w:val="4E5E0DD4"/>
    <w:rsid w:val="4EF56F30"/>
    <w:rsid w:val="4F0B7F86"/>
    <w:rsid w:val="4F652159"/>
    <w:rsid w:val="4F7E37ED"/>
    <w:rsid w:val="4FCD667C"/>
    <w:rsid w:val="504B0F36"/>
    <w:rsid w:val="50830AE8"/>
    <w:rsid w:val="50BE407D"/>
    <w:rsid w:val="51065647"/>
    <w:rsid w:val="516915F2"/>
    <w:rsid w:val="51DF2696"/>
    <w:rsid w:val="52646F14"/>
    <w:rsid w:val="528D20F2"/>
    <w:rsid w:val="5468184D"/>
    <w:rsid w:val="54815C87"/>
    <w:rsid w:val="54F93A6F"/>
    <w:rsid w:val="561E2F03"/>
    <w:rsid w:val="56701B0F"/>
    <w:rsid w:val="57C77E54"/>
    <w:rsid w:val="581D636D"/>
    <w:rsid w:val="581F3C8C"/>
    <w:rsid w:val="583F6F8E"/>
    <w:rsid w:val="58625E05"/>
    <w:rsid w:val="58CF26AC"/>
    <w:rsid w:val="58EB1371"/>
    <w:rsid w:val="5930101D"/>
    <w:rsid w:val="598A2EE8"/>
    <w:rsid w:val="59AC5554"/>
    <w:rsid w:val="5A9B3696"/>
    <w:rsid w:val="5AC02939"/>
    <w:rsid w:val="5AD47FC2"/>
    <w:rsid w:val="5AEC4735"/>
    <w:rsid w:val="5AFA270B"/>
    <w:rsid w:val="5BBB1A7E"/>
    <w:rsid w:val="5BDE7811"/>
    <w:rsid w:val="5D656145"/>
    <w:rsid w:val="5D7B06E4"/>
    <w:rsid w:val="5DC25AF2"/>
    <w:rsid w:val="5E227B93"/>
    <w:rsid w:val="5E59107B"/>
    <w:rsid w:val="5EBA601D"/>
    <w:rsid w:val="5F84608B"/>
    <w:rsid w:val="60591866"/>
    <w:rsid w:val="60CA538E"/>
    <w:rsid w:val="61152B27"/>
    <w:rsid w:val="612C0D28"/>
    <w:rsid w:val="614442C4"/>
    <w:rsid w:val="62004B9D"/>
    <w:rsid w:val="62377985"/>
    <w:rsid w:val="62F020B9"/>
    <w:rsid w:val="635A7DCF"/>
    <w:rsid w:val="63610BD9"/>
    <w:rsid w:val="63F43D7F"/>
    <w:rsid w:val="64000591"/>
    <w:rsid w:val="644F7EF5"/>
    <w:rsid w:val="64D0181F"/>
    <w:rsid w:val="64E139BB"/>
    <w:rsid w:val="662A4B28"/>
    <w:rsid w:val="663520A3"/>
    <w:rsid w:val="67A0056C"/>
    <w:rsid w:val="67CE0D8B"/>
    <w:rsid w:val="67F105D6"/>
    <w:rsid w:val="69623D1F"/>
    <w:rsid w:val="6A533A14"/>
    <w:rsid w:val="6AC512A9"/>
    <w:rsid w:val="6BB81F59"/>
    <w:rsid w:val="6C2015CA"/>
    <w:rsid w:val="6C340E20"/>
    <w:rsid w:val="6C726189"/>
    <w:rsid w:val="6F3911E0"/>
    <w:rsid w:val="6F651BCA"/>
    <w:rsid w:val="6FC04A75"/>
    <w:rsid w:val="702B71E2"/>
    <w:rsid w:val="715E074C"/>
    <w:rsid w:val="719E42A9"/>
    <w:rsid w:val="71C13613"/>
    <w:rsid w:val="72C81C31"/>
    <w:rsid w:val="72CA214F"/>
    <w:rsid w:val="734D7008"/>
    <w:rsid w:val="73AA445A"/>
    <w:rsid w:val="73BC60D0"/>
    <w:rsid w:val="74387CB8"/>
    <w:rsid w:val="75AD5A31"/>
    <w:rsid w:val="75E56FEE"/>
    <w:rsid w:val="760638AB"/>
    <w:rsid w:val="768E78F0"/>
    <w:rsid w:val="77996CC0"/>
    <w:rsid w:val="77F2077D"/>
    <w:rsid w:val="78295790"/>
    <w:rsid w:val="783D7BD2"/>
    <w:rsid w:val="78C6021B"/>
    <w:rsid w:val="78EF46BD"/>
    <w:rsid w:val="797F0137"/>
    <w:rsid w:val="7A047F39"/>
    <w:rsid w:val="7A356A48"/>
    <w:rsid w:val="7A540C7C"/>
    <w:rsid w:val="7B98103C"/>
    <w:rsid w:val="7BFA6F52"/>
    <w:rsid w:val="7C623E0B"/>
    <w:rsid w:val="7D0736E5"/>
    <w:rsid w:val="7D3666AF"/>
    <w:rsid w:val="7D4555A4"/>
    <w:rsid w:val="7D4A0A5C"/>
    <w:rsid w:val="7D4D1AE0"/>
    <w:rsid w:val="7D9615AC"/>
    <w:rsid w:val="7EBB5841"/>
    <w:rsid w:val="7EEB439C"/>
    <w:rsid w:val="7EEB64C5"/>
    <w:rsid w:val="7FA362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2">
    <w:name w:val="heading 1"/>
    <w:basedOn w:val="1"/>
    <w:autoRedefine/>
    <w:qFormat/>
    <w:uiPriority w:val="1"/>
    <w:pPr>
      <w:spacing w:line="484" w:lineRule="exact"/>
      <w:ind w:left="418" w:right="653"/>
      <w:jc w:val="center"/>
      <w:outlineLvl w:val="1"/>
    </w:pPr>
    <w:rPr>
      <w:rFonts w:ascii="Microsoft JhengHei" w:hAnsi="Microsoft JhengHei" w:eastAsia="Microsoft JhengHei" w:cs="Microsoft JhengHei"/>
      <w:b/>
      <w:bCs/>
      <w:sz w:val="28"/>
      <w:szCs w:val="28"/>
      <w:lang w:val="zh-CN" w:eastAsia="zh-CN" w:bidi="zh-CN"/>
    </w:rPr>
  </w:style>
  <w:style w:type="paragraph" w:styleId="3">
    <w:name w:val="heading 2"/>
    <w:basedOn w:val="1"/>
    <w:autoRedefine/>
    <w:qFormat/>
    <w:uiPriority w:val="1"/>
    <w:pPr>
      <w:spacing w:before="55"/>
      <w:ind w:left="1606" w:hanging="706"/>
      <w:outlineLvl w:val="2"/>
    </w:pPr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4">
    <w:name w:val="heading 3"/>
    <w:basedOn w:val="1"/>
    <w:autoRedefine/>
    <w:qFormat/>
    <w:uiPriority w:val="1"/>
    <w:pPr>
      <w:spacing w:before="14"/>
      <w:ind w:left="340" w:right="653"/>
      <w:outlineLvl w:val="3"/>
    </w:pPr>
    <w:rPr>
      <w:rFonts w:ascii="Microsoft JhengHei" w:hAnsi="Microsoft JhengHei" w:eastAsia="Microsoft JhengHei" w:cs="Microsoft JhengHei"/>
      <w:b/>
      <w:bCs/>
      <w:sz w:val="25"/>
      <w:szCs w:val="25"/>
      <w:lang w:val="zh-CN" w:eastAsia="zh-CN" w:bidi="zh-CN"/>
    </w:rPr>
  </w:style>
  <w:style w:type="paragraph" w:styleId="5">
    <w:name w:val="heading 4"/>
    <w:basedOn w:val="1"/>
    <w:autoRedefine/>
    <w:qFormat/>
    <w:uiPriority w:val="1"/>
    <w:pPr>
      <w:spacing w:before="96"/>
      <w:ind w:left="394" w:right="653"/>
      <w:jc w:val="center"/>
      <w:outlineLvl w:val="4"/>
    </w:pPr>
    <w:rPr>
      <w:rFonts w:ascii="宋体" w:hAnsi="宋体" w:eastAsia="宋体" w:cs="宋体"/>
      <w:sz w:val="25"/>
      <w:szCs w:val="25"/>
      <w:lang w:val="zh-CN" w:eastAsia="zh-CN" w:bidi="zh-CN"/>
    </w:rPr>
  </w:style>
  <w:style w:type="paragraph" w:styleId="6">
    <w:name w:val="heading 5"/>
    <w:basedOn w:val="1"/>
    <w:autoRedefine/>
    <w:qFormat/>
    <w:uiPriority w:val="1"/>
    <w:pPr>
      <w:ind w:left="340"/>
      <w:outlineLvl w:val="5"/>
    </w:pPr>
    <w:rPr>
      <w:rFonts w:ascii="Microsoft JhengHei" w:hAnsi="Microsoft JhengHei" w:eastAsia="Microsoft JhengHei" w:cs="Microsoft JhengHei"/>
      <w:b/>
      <w:bCs/>
      <w:sz w:val="24"/>
      <w:szCs w:val="24"/>
      <w:lang w:val="zh-CN" w:eastAsia="zh-CN" w:bidi="zh-CN"/>
    </w:rPr>
  </w:style>
  <w:style w:type="character" w:default="1" w:styleId="10">
    <w:name w:val="Default Paragraph Font"/>
    <w:autoRedefine/>
    <w:semiHidden/>
    <w:unhideWhenUsed/>
    <w:qFormat/>
    <w:uiPriority w:val="1"/>
    <w:rPr>
      <w:rFonts w:ascii="宋体" w:hAnsi="宋体" w:eastAsia="宋体" w:cs="宋体"/>
      <w:sz w:val="24"/>
      <w:szCs w:val="24"/>
    </w:rPr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合同专用条款"/>
    <w:basedOn w:val="13"/>
    <w:autoRedefine/>
    <w:qFormat/>
    <w:uiPriority w:val="0"/>
    <w:rPr>
      <w:rFonts w:ascii="Calibri" w:hAnsi="Calibri"/>
      <w:b/>
      <w:bCs/>
      <w:i/>
      <w:iCs/>
      <w:lang w:val="zh-CN" w:bidi="zh-CN"/>
    </w:rPr>
  </w:style>
  <w:style w:type="character" w:customStyle="1" w:styleId="13">
    <w:name w:val="正文字体（带下划线）"/>
    <w:basedOn w:val="10"/>
    <w:autoRedefine/>
    <w:qFormat/>
    <w:uiPriority w:val="0"/>
    <w:rPr>
      <w:rFonts w:hint="eastAsia"/>
      <w:u w:val="single"/>
      <w:lang w:eastAsia="zh-CN"/>
    </w:rPr>
  </w:style>
  <w:style w:type="paragraph" w:customStyle="1" w:styleId="14">
    <w:name w:val="正文段落"/>
    <w:basedOn w:val="1"/>
    <w:autoRedefine/>
    <w:qFormat/>
    <w:uiPriority w:val="0"/>
    <w:pPr>
      <w:spacing w:line="440" w:lineRule="exact"/>
      <w:ind w:firstLine="480" w:firstLineChars="200"/>
    </w:pPr>
  </w:style>
  <w:style w:type="paragraph" w:customStyle="1" w:styleId="15">
    <w:name w:val="级别3编号（正文段落）"/>
    <w:basedOn w:val="14"/>
    <w:autoRedefine/>
    <w:qFormat/>
    <w:uiPriority w:val="0"/>
    <w:pPr>
      <w:numPr>
        <w:ilvl w:val="2"/>
        <w:numId w:val="1"/>
      </w:numPr>
      <w:tabs>
        <w:tab w:val="left" w:pos="420"/>
        <w:tab w:val="left" w:pos="1475"/>
        <w:tab w:val="clear" w:pos="0"/>
      </w:tabs>
      <w:ind w:firstLine="567"/>
      <w:jc w:val="both"/>
    </w:pPr>
    <w:rPr>
      <w:rFonts w:hint="default" w:asciiTheme="minorAscii" w:hAnsiTheme="minorAscii" w:eastAsiaTheme="minorEastAsia" w:cstheme="minorEastAsia"/>
    </w:rPr>
  </w:style>
  <w:style w:type="paragraph" w:customStyle="1" w:styleId="16">
    <w:name w:val="级别2编号（正文标题）"/>
    <w:basedOn w:val="1"/>
    <w:autoRedefine/>
    <w:qFormat/>
    <w:uiPriority w:val="0"/>
    <w:pPr>
      <w:numPr>
        <w:ilvl w:val="1"/>
        <w:numId w:val="1"/>
      </w:numPr>
      <w:tabs>
        <w:tab w:val="left" w:pos="1475"/>
      </w:tabs>
      <w:spacing w:line="560" w:lineRule="exact"/>
      <w:ind w:firstLine="567"/>
      <w:jc w:val="both"/>
      <w:outlineLvl w:val="2"/>
    </w:pPr>
    <w:rPr>
      <w:rFonts w:asciiTheme="minorAscii" w:hAnsiTheme="minorAscii" w:eastAsiaTheme="minorEastAsia" w:cstheme="minorEastAsia"/>
      <w:b/>
      <w:bCs/>
      <w:lang w:val="en-US"/>
    </w:rPr>
  </w:style>
  <w:style w:type="paragraph" w:customStyle="1" w:styleId="17">
    <w:name w:val="级别1编号"/>
    <w:autoRedefine/>
    <w:qFormat/>
    <w:uiPriority w:val="0"/>
    <w:pPr>
      <w:numPr>
        <w:ilvl w:val="0"/>
        <w:numId w:val="1"/>
      </w:numPr>
      <w:tabs>
        <w:tab w:val="left" w:pos="0"/>
        <w:tab w:val="clear" w:pos="420"/>
      </w:tabs>
      <w:autoSpaceDE w:val="0"/>
      <w:autoSpaceDN w:val="0"/>
      <w:bidi w:val="0"/>
      <w:spacing w:line="240" w:lineRule="auto"/>
      <w:ind w:left="0" w:leftChars="0" w:firstLine="0" w:firstLineChars="0"/>
      <w:jc w:val="center"/>
      <w:outlineLvl w:val="1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18">
    <w:name w:val="总标题"/>
    <w:autoRedefine/>
    <w:qFormat/>
    <w:uiPriority w:val="0"/>
    <w:pPr>
      <w:jc w:val="center"/>
    </w:pPr>
    <w:rPr>
      <w:rFonts w:hint="default" w:asciiTheme="majorAscii" w:hAnsiTheme="majorAscii" w:eastAsiaTheme="majorEastAsia" w:cstheme="majorEastAsia"/>
      <w:b/>
      <w:bCs/>
      <w:sz w:val="44"/>
      <w:szCs w:val="44"/>
      <w:lang w:val="en-US"/>
    </w:rPr>
  </w:style>
  <w:style w:type="paragraph" w:customStyle="1" w:styleId="19">
    <w:name w:val="1.1.1"/>
    <w:basedOn w:val="20"/>
    <w:autoRedefine/>
    <w:qFormat/>
    <w:uiPriority w:val="1"/>
    <w:pPr>
      <w:numPr>
        <w:ilvl w:val="2"/>
        <w:numId w:val="2"/>
      </w:numPr>
      <w:tabs>
        <w:tab w:val="left" w:pos="1475"/>
      </w:tabs>
      <w:spacing w:line="440" w:lineRule="exact"/>
      <w:ind w:left="0" w:firstLine="480" w:firstLineChars="200"/>
    </w:pPr>
    <w:rPr>
      <w:b w:val="0"/>
      <w:bCs w:val="0"/>
    </w:rPr>
  </w:style>
  <w:style w:type="paragraph" w:styleId="20">
    <w:name w:val="List Paragraph"/>
    <w:basedOn w:val="1"/>
    <w:autoRedefine/>
    <w:qFormat/>
    <w:uiPriority w:val="1"/>
    <w:pPr>
      <w:numPr>
        <w:ilvl w:val="1"/>
        <w:numId w:val="3"/>
      </w:numPr>
      <w:tabs>
        <w:tab w:val="left" w:pos="1475"/>
      </w:tabs>
      <w:spacing w:line="560" w:lineRule="exact"/>
      <w:ind w:left="962"/>
      <w:jc w:val="both"/>
    </w:pPr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1690</Words>
  <Characters>1700</Characters>
  <Lines>1</Lines>
  <Paragraphs>1</Paragraphs>
  <TotalTime>15</TotalTime>
  <ScaleCrop>false</ScaleCrop>
  <LinksUpToDate>false</LinksUpToDate>
  <CharactersWithSpaces>1951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2024-04-09T01:59:00Z</dcterms:created>
  <dc:creator>Anakin</dc:creator>
  <cp:lastModifiedBy>沈超</cp:lastModifiedBy>
  <dcterms:modified xsi:type="dcterms:W3CDTF">2024-11-18T03:46:05Z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2024-04-09T00:00:00Z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6672EEE2C6E34B8B8FBC00E81A1B4DB7_13</vt:lpwstr>
  </property>
</Properties>
</file>