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bookmark4"/>
      <w:bookmarkEnd w:id="0"/>
      <w:bookmarkStart w:id="1" w:name="合肥市政府采购合同参考范本"/>
      <w:bookmarkEnd w:id="1"/>
    </w:p>
    <w:p>
      <w:pPr>
        <w:jc w:val="center"/>
      </w:pPr>
    </w:p>
    <w:p>
      <w:pPr>
        <w:jc w:val="center"/>
      </w:pPr>
    </w:p>
    <w:p>
      <w:pPr>
        <w:jc w:val="center"/>
      </w:pPr>
    </w:p>
    <w:p>
      <w:pPr>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货物采购合同</w:t>
      </w:r>
      <w:bookmarkStart w:id="2" w:name="（货物类）"/>
      <w:bookmarkEnd w:id="2"/>
    </w:p>
    <w:p>
      <w:pPr>
        <w:jc w:val="center"/>
      </w:pPr>
    </w:p>
    <w:p>
      <w:pPr>
        <w:jc w:val="center"/>
      </w:pPr>
    </w:p>
    <w:p>
      <w:pPr>
        <w:jc w:val="center"/>
        <w:rPr>
          <w:rFonts w:hint="eastAsia"/>
        </w:rPr>
      </w:pPr>
    </w:p>
    <w:p>
      <w:pPr>
        <w:jc w:val="center"/>
      </w:pPr>
      <w:bookmarkStart w:id="3" w:name="第一部分_合同书"/>
      <w:bookmarkEnd w:id="3"/>
    </w:p>
    <w:p>
      <w:pPr>
        <w:jc w:val="center"/>
      </w:pPr>
    </w:p>
    <w:p>
      <w:pPr>
        <w:jc w:val="both"/>
        <w:rPr>
          <w:rFonts w:hint="eastAsia"/>
        </w:rPr>
      </w:pPr>
    </w:p>
    <w:tbl>
      <w:tblPr>
        <w:tblStyle w:val="12"/>
        <w:tblW w:w="0" w:type="auto"/>
        <w:jc w:val="center"/>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87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917" w:hRule="atLeast"/>
          <w:jc w:val="center"/>
        </w:trPr>
        <w:tc>
          <w:tcPr>
            <w:tcW w:w="6878" w:type="dxa"/>
            <w:vAlign w:val="bottom"/>
          </w:tcPr>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项目名称：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项目编号：</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甲方（采购人）：</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乙方（</w:t>
            </w:r>
            <w:r>
              <w:rPr>
                <w:rFonts w:hint="eastAsia"/>
                <w:sz w:val="28"/>
                <w:szCs w:val="28"/>
              </w:rPr>
              <w:t>供应商</w:t>
            </w:r>
            <w:r>
              <w:rPr>
                <w:sz w:val="28"/>
                <w:szCs w:val="28"/>
              </w:rPr>
              <w:t>）：</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rFonts w:hint="eastAsia" w:eastAsia="宋体"/>
                <w:sz w:val="28"/>
                <w:szCs w:val="28"/>
                <w:lang w:eastAsia="zh-CN"/>
              </w:rPr>
            </w:pPr>
            <w:r>
              <w:rPr>
                <w:sz w:val="28"/>
                <w:szCs w:val="28"/>
              </w:rPr>
              <w:t>签订地：</w:t>
            </w:r>
            <w:r>
              <w:rPr>
                <w:rFonts w:hint="eastAsia"/>
                <w:sz w:val="28"/>
                <w:szCs w:val="28"/>
                <w:u w:val="single"/>
                <w:lang w:eastAsia="zh-CN"/>
              </w:rPr>
              <w:t xml:space="preserve">       </w:t>
            </w:r>
            <w:r>
              <w:rPr>
                <w:rFonts w:hint="eastAsia"/>
                <w:sz w:val="28"/>
                <w:szCs w:val="28"/>
                <w:u w:val="single"/>
                <w:lang w:val="en-US" w:eastAsia="zh-CN"/>
              </w:rPr>
              <w:t xml:space="preserve">                            </w:t>
            </w:r>
            <w:r>
              <w:rPr>
                <w:rFonts w:hint="eastAsia"/>
                <w:sz w:val="28"/>
                <w:szCs w:val="28"/>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line="480" w:lineRule="auto"/>
              <w:ind w:left="0" w:leftChars="0"/>
              <w:jc w:val="left"/>
              <w:textAlignment w:val="auto"/>
              <w:rPr>
                <w:vertAlign w:val="baseline"/>
              </w:rPr>
            </w:pPr>
            <w:r>
              <w:rPr>
                <w:sz w:val="28"/>
                <w:szCs w:val="28"/>
              </w:rPr>
              <w:t>签订日期：</w:t>
            </w:r>
            <w:r>
              <w:rPr>
                <w:rFonts w:hint="eastAsia"/>
                <w:sz w:val="28"/>
                <w:szCs w:val="28"/>
                <w:u w:val="single"/>
                <w:lang w:eastAsia="zh-CN"/>
              </w:rPr>
              <w:t xml:space="preserve">          </w:t>
            </w:r>
            <w:r>
              <w:rPr>
                <w:sz w:val="28"/>
                <w:szCs w:val="28"/>
              </w:rPr>
              <w:t>年</w:t>
            </w:r>
            <w:r>
              <w:rPr>
                <w:rFonts w:hint="eastAsia"/>
                <w:sz w:val="28"/>
                <w:szCs w:val="28"/>
                <w:u w:val="single"/>
                <w:lang w:eastAsia="zh-CN"/>
              </w:rPr>
              <w:t xml:space="preserve">          </w:t>
            </w:r>
            <w:r>
              <w:rPr>
                <w:sz w:val="28"/>
                <w:szCs w:val="28"/>
              </w:rPr>
              <w:t>月</w:t>
            </w:r>
            <w:r>
              <w:rPr>
                <w:rFonts w:hint="eastAsia"/>
                <w:sz w:val="28"/>
                <w:szCs w:val="28"/>
                <w:u w:val="single"/>
                <w:lang w:eastAsia="zh-CN"/>
              </w:rPr>
              <w:t xml:space="preserve">          </w:t>
            </w:r>
            <w:r>
              <w:rPr>
                <w:sz w:val="28"/>
                <w:szCs w:val="28"/>
              </w:rPr>
              <w:t>日</w:t>
            </w:r>
          </w:p>
        </w:tc>
      </w:tr>
    </w:tbl>
    <w:p>
      <w:r>
        <w:br w:type="page"/>
      </w:r>
    </w:p>
    <w:p>
      <w:pPr>
        <w:pStyle w:val="30"/>
        <w:bidi w:val="0"/>
      </w:pPr>
      <w:r>
        <w:t>根据《中华人民共和国民法典》等相关法律法规之规定，按照平等、自愿、公平和诚实信用的原则，经甲方和乙方协商一致，约定以下合同条款，以兹共同遵守、全面履行。</w:t>
      </w:r>
    </w:p>
    <w:p>
      <w:pPr>
        <w:pStyle w:val="20"/>
        <w:bidi w:val="0"/>
      </w:pPr>
      <w:bookmarkStart w:id="4" w:name="1.2_货物"/>
      <w:bookmarkEnd w:id="4"/>
      <w:r>
        <w:t>货物</w:t>
      </w:r>
    </w:p>
    <w:tbl>
      <w:tblPr>
        <w:tblStyle w:val="1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60"/>
        <w:gridCol w:w="1515"/>
        <w:gridCol w:w="1515"/>
        <w:gridCol w:w="1512"/>
        <w:gridCol w:w="1512"/>
        <w:gridCol w:w="15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rPr>
                <w:b w:val="0"/>
                <w:bCs w:val="0"/>
              </w:rPr>
            </w:pPr>
            <w:r>
              <w:rPr>
                <w:b w:val="0"/>
                <w:bCs w:val="0"/>
              </w:rPr>
              <w:t>序号</w:t>
            </w:r>
          </w:p>
        </w:tc>
        <w:tc>
          <w:tcPr>
            <w:tcW w:w="1515" w:type="dxa"/>
          </w:tcPr>
          <w:p>
            <w:pPr>
              <w:jc w:val="center"/>
              <w:rPr>
                <w:b w:val="0"/>
                <w:bCs w:val="0"/>
              </w:rPr>
            </w:pPr>
            <w:r>
              <w:rPr>
                <w:b w:val="0"/>
                <w:bCs w:val="0"/>
              </w:rPr>
              <w:t>货物名称</w:t>
            </w:r>
          </w:p>
        </w:tc>
        <w:tc>
          <w:tcPr>
            <w:tcW w:w="1515" w:type="dxa"/>
          </w:tcPr>
          <w:p>
            <w:pPr>
              <w:jc w:val="center"/>
              <w:rPr>
                <w:b w:val="0"/>
                <w:bCs w:val="0"/>
              </w:rPr>
            </w:pPr>
            <w:r>
              <w:rPr>
                <w:b w:val="0"/>
                <w:bCs w:val="0"/>
              </w:rPr>
              <w:t>规格型号</w:t>
            </w:r>
          </w:p>
        </w:tc>
        <w:tc>
          <w:tcPr>
            <w:tcW w:w="1512" w:type="dxa"/>
          </w:tcPr>
          <w:p>
            <w:pPr>
              <w:jc w:val="center"/>
              <w:rPr>
                <w:b w:val="0"/>
                <w:bCs w:val="0"/>
              </w:rPr>
            </w:pPr>
            <w:r>
              <w:rPr>
                <w:b w:val="0"/>
                <w:bCs w:val="0"/>
              </w:rPr>
              <w:t>单位</w:t>
            </w:r>
          </w:p>
        </w:tc>
        <w:tc>
          <w:tcPr>
            <w:tcW w:w="1512" w:type="dxa"/>
          </w:tcPr>
          <w:p>
            <w:pPr>
              <w:jc w:val="center"/>
              <w:rPr>
                <w:b w:val="0"/>
                <w:bCs w:val="0"/>
              </w:rPr>
            </w:pPr>
            <w:r>
              <w:rPr>
                <w:b w:val="0"/>
                <w:bCs w:val="0"/>
              </w:rPr>
              <w:t>数量</w:t>
            </w:r>
          </w:p>
        </w:tc>
        <w:tc>
          <w:tcPr>
            <w:tcW w:w="1508" w:type="dxa"/>
          </w:tcPr>
          <w:p>
            <w:pPr>
              <w:jc w:val="center"/>
              <w:rPr>
                <w:b w:val="0"/>
                <w:bCs w:val="0"/>
              </w:rPr>
            </w:pPr>
            <w:r>
              <w:rPr>
                <w:b w:val="0"/>
                <w:bCs w:val="0"/>
              </w:rPr>
              <w:t>生产厂商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1</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pPr>
            <w:r>
              <w:t>2</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960" w:type="dxa"/>
          </w:tcPr>
          <w:p>
            <w:pPr>
              <w:jc w:val="center"/>
            </w:pPr>
            <w:r>
              <w:t>3</w:t>
            </w:r>
          </w:p>
        </w:tc>
        <w:tc>
          <w:tcPr>
            <w:tcW w:w="1515" w:type="dxa"/>
          </w:tcPr>
          <w:p/>
        </w:tc>
        <w:tc>
          <w:tcPr>
            <w:tcW w:w="1515" w:type="dxa"/>
          </w:tcPr>
          <w:p/>
        </w:tc>
        <w:tc>
          <w:tcPr>
            <w:tcW w:w="1512" w:type="dxa"/>
          </w:tcPr>
          <w:p/>
        </w:tc>
        <w:tc>
          <w:tcPr>
            <w:tcW w:w="1512" w:type="dxa"/>
          </w:tcPr>
          <w:p/>
        </w:tc>
        <w:tc>
          <w:tcPr>
            <w:tcW w:w="1508" w:type="dxa"/>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960" w:type="dxa"/>
          </w:tcPr>
          <w:p>
            <w:pPr>
              <w:jc w:val="center"/>
            </w:pPr>
            <w:r>
              <w:t>……</w:t>
            </w:r>
          </w:p>
        </w:tc>
        <w:tc>
          <w:tcPr>
            <w:tcW w:w="1515" w:type="dxa"/>
          </w:tcPr>
          <w:p/>
        </w:tc>
        <w:tc>
          <w:tcPr>
            <w:tcW w:w="1515" w:type="dxa"/>
          </w:tcPr>
          <w:p/>
        </w:tc>
        <w:tc>
          <w:tcPr>
            <w:tcW w:w="1512" w:type="dxa"/>
          </w:tcPr>
          <w:p/>
        </w:tc>
        <w:tc>
          <w:tcPr>
            <w:tcW w:w="1512" w:type="dxa"/>
          </w:tcPr>
          <w:p/>
        </w:tc>
        <w:tc>
          <w:tcPr>
            <w:tcW w:w="1508" w:type="dxa"/>
          </w:tcPr>
          <w:p/>
        </w:tc>
      </w:tr>
    </w:tbl>
    <w:p>
      <w:pPr>
        <w:pStyle w:val="20"/>
        <w:bidi w:val="0"/>
      </w:pPr>
      <w:bookmarkStart w:id="5" w:name="1.3_价款"/>
      <w:bookmarkEnd w:id="5"/>
      <w:r>
        <w:t>价款</w:t>
      </w:r>
    </w:p>
    <w:p>
      <w:pPr>
        <w:pStyle w:val="30"/>
        <w:bidi w:val="0"/>
      </w:pPr>
      <w:r>
        <w:t>本合同</w:t>
      </w:r>
      <w:r>
        <w:rPr>
          <w:rFonts w:hint="eastAsia"/>
          <w:lang w:val="en-US" w:eastAsia="zh-CN"/>
        </w:rPr>
        <w:t>含税</w:t>
      </w:r>
      <w:r>
        <w:t>总价为：￥</w:t>
      </w:r>
      <w:r>
        <w:rPr>
          <w:rFonts w:hint="eastAsia"/>
          <w:u w:val="single"/>
          <w:lang w:eastAsia="zh-CN"/>
        </w:rPr>
        <w:t xml:space="preserve">          </w:t>
      </w:r>
      <w:r>
        <w:t>元（大写：人民币</w:t>
      </w:r>
      <w:r>
        <w:rPr>
          <w:rFonts w:hint="eastAsia"/>
          <w:u w:val="single"/>
          <w:lang w:eastAsia="zh-CN"/>
        </w:rPr>
        <w:t xml:space="preserve">          </w:t>
      </w:r>
      <w:r>
        <w:t>元）。</w:t>
      </w:r>
    </w:p>
    <w:p>
      <w:pPr>
        <w:pStyle w:val="20"/>
        <w:bidi w:val="0"/>
      </w:pPr>
      <w:bookmarkStart w:id="6" w:name="1.4_付款方式和发票开具方式"/>
      <w:bookmarkEnd w:id="6"/>
      <w:r>
        <w:t>履约保证金</w:t>
      </w:r>
    </w:p>
    <w:p>
      <w:pPr>
        <w:pStyle w:val="22"/>
        <w:bidi w:val="0"/>
      </w:pPr>
      <w:r>
        <w:rPr>
          <w:rFonts w:hint="eastAsia"/>
        </w:rPr>
        <w:t>本合同签订后3个工作日内，乙方应向甲方支付不超过合同总价</w:t>
      </w:r>
      <w:r>
        <w:rPr>
          <w:rFonts w:hint="eastAsia"/>
          <w:u w:val="single"/>
          <w:lang w:val="en-US" w:eastAsia="zh-CN"/>
        </w:rPr>
        <w:t xml:space="preserve">   </w:t>
      </w:r>
      <w:r>
        <w:rPr>
          <w:rFonts w:hint="eastAsia"/>
        </w:rPr>
        <w:t>%的履约保证金，作为乙方认真履行合同条款的保证，鼓励使用保险、保函等非现金形式代替现金缴纳履约保证金</w:t>
      </w:r>
      <w:r>
        <w:rPr>
          <w:rFonts w:hint="eastAsia"/>
          <w:lang w:eastAsia="zh-CN"/>
        </w:rPr>
        <w:t>；</w:t>
      </w:r>
    </w:p>
    <w:p>
      <w:pPr>
        <w:pStyle w:val="22"/>
        <w:bidi w:val="0"/>
        <w:rPr>
          <w:rFonts w:hint="eastAsia"/>
        </w:rPr>
      </w:pPr>
      <w:r>
        <w:t>如果乙方不履行合同，履约保证金不予退还；如果乙方未能按合同约定全面履行义务，那么甲方有权从履约保证金中取得补偿或赔偿，同时不影响甲方要求乙方承担合同约定的超过履约保证金的违约责任的权利</w:t>
      </w:r>
      <w:r>
        <w:rPr>
          <w:rFonts w:hint="eastAsia"/>
          <w:lang w:eastAsia="zh-CN"/>
        </w:rPr>
        <w:t>；</w:t>
      </w:r>
    </w:p>
    <w:p>
      <w:pPr>
        <w:pStyle w:val="22"/>
        <w:bidi w:val="0"/>
      </w:pPr>
      <w:r>
        <w:rPr>
          <w:rFonts w:hint="eastAsia"/>
          <w:lang w:val="en-US" w:eastAsia="zh-CN"/>
        </w:rPr>
        <w:t>项目验收合格后</w:t>
      </w:r>
      <w:r>
        <w:rPr>
          <w:rFonts w:hint="eastAsia"/>
        </w:rPr>
        <w:t>，履约保证金由甲方无息返还乙方</w:t>
      </w:r>
      <w:r>
        <w:rPr>
          <w:rFonts w:hint="eastAsia"/>
          <w:lang w:eastAsia="zh-CN"/>
        </w:rPr>
        <w:t>。</w:t>
      </w:r>
    </w:p>
    <w:p>
      <w:pPr>
        <w:pStyle w:val="20"/>
        <w:bidi w:val="0"/>
      </w:pPr>
      <w:bookmarkStart w:id="7" w:name="第三部分_合同专用条款"/>
      <w:bookmarkEnd w:id="7"/>
      <w:r>
        <w:rPr>
          <w:rFonts w:hint="eastAsia"/>
          <w:lang w:val="en-US" w:eastAsia="zh-CN"/>
        </w:rPr>
        <w:t>货款结算</w:t>
      </w:r>
    </w:p>
    <w:p>
      <w:pPr>
        <w:pStyle w:val="22"/>
        <w:bidi w:val="0"/>
      </w:pPr>
      <w:r>
        <w:rPr>
          <w:rFonts w:hint="eastAsia"/>
          <w:u w:val="none"/>
        </w:rPr>
        <w:t>项目</w:t>
      </w:r>
      <w:r>
        <w:rPr>
          <w:rFonts w:hint="eastAsia"/>
          <w:u w:val="none"/>
          <w:lang w:val="en-US" w:eastAsia="zh-CN"/>
        </w:rPr>
        <w:t>到货并经甲方</w:t>
      </w:r>
      <w:r>
        <w:rPr>
          <w:rFonts w:hint="eastAsia"/>
          <w:u w:val="none"/>
        </w:rPr>
        <w:t>验收合格后，</w:t>
      </w:r>
      <w:r>
        <w:rPr>
          <w:rFonts w:hint="eastAsia"/>
          <w:u w:val="none"/>
          <w:lang w:val="en-US" w:eastAsia="zh-CN"/>
        </w:rPr>
        <w:t>甲方一次支付全部货款</w:t>
      </w:r>
      <w:r>
        <w:rPr>
          <w:rFonts w:hint="eastAsia"/>
          <w:lang w:val="en-US" w:eastAsia="zh-CN"/>
        </w:rPr>
        <w:t>；</w:t>
      </w:r>
    </w:p>
    <w:p>
      <w:pPr>
        <w:pStyle w:val="22"/>
        <w:bidi w:val="0"/>
      </w:pPr>
      <w:r>
        <w:rPr>
          <w:rFonts w:hint="eastAsia"/>
          <w:u w:val="none"/>
          <w:lang w:val="en-US" w:eastAsia="zh-CN"/>
        </w:rPr>
        <w:t>甲方付款前，乙方应开具等额有效</w:t>
      </w:r>
      <w:r>
        <w:rPr>
          <w:rFonts w:hint="eastAsia"/>
          <w:b/>
          <w:bCs/>
          <w:u w:val="none"/>
          <w:lang w:val="en-US" w:eastAsia="zh-CN"/>
        </w:rPr>
        <w:t>增值税专用发票</w:t>
      </w:r>
      <w:r>
        <w:rPr>
          <w:rFonts w:hint="eastAsia"/>
          <w:u w:val="none"/>
          <w:lang w:val="en-US" w:eastAsia="zh-CN"/>
        </w:rPr>
        <w:t>，否则甲方可拒绝付款且不视为甲方违约</w:t>
      </w:r>
      <w:r>
        <w:t>。</w:t>
      </w:r>
    </w:p>
    <w:p>
      <w:pPr>
        <w:pStyle w:val="20"/>
        <w:bidi w:val="0"/>
      </w:pPr>
      <w:bookmarkStart w:id="8" w:name="1.5_货物交付期限、地点和方式"/>
      <w:bookmarkEnd w:id="8"/>
      <w:r>
        <w:t>货物交付期限、地点</w:t>
      </w:r>
    </w:p>
    <w:p>
      <w:pPr>
        <w:pStyle w:val="22"/>
        <w:bidi w:val="0"/>
      </w:pPr>
      <w:r>
        <w:rPr>
          <w:rFonts w:hint="eastAsia"/>
          <w:u w:val="none"/>
          <w:lang w:val="en-US" w:eastAsia="zh-CN"/>
        </w:rPr>
        <w:t>交付期限：本合同签订后</w:t>
      </w:r>
      <w:r>
        <w:rPr>
          <w:rFonts w:hint="eastAsia"/>
          <w:u w:val="single"/>
          <w:lang w:val="en-US" w:eastAsia="zh-CN"/>
        </w:rPr>
        <w:t xml:space="preserve">    </w:t>
      </w:r>
      <w:r>
        <w:rPr>
          <w:rFonts w:hint="eastAsia"/>
          <w:u w:val="none"/>
          <w:lang w:val="en-US" w:eastAsia="zh-CN"/>
        </w:rPr>
        <w:t>日内；</w:t>
      </w:r>
    </w:p>
    <w:p>
      <w:pPr>
        <w:pStyle w:val="22"/>
        <w:bidi w:val="0"/>
      </w:pPr>
      <w:r>
        <w:rPr>
          <w:rFonts w:hint="eastAsia"/>
          <w:u w:val="none"/>
          <w:lang w:val="en-US" w:eastAsia="zh-CN"/>
        </w:rPr>
        <w:t>交付地点：__________________________</w:t>
      </w:r>
      <w:bookmarkStart w:id="9" w:name="1.6_违约责任"/>
      <w:bookmarkEnd w:id="9"/>
      <w:r>
        <w:rPr>
          <w:rFonts w:hint="eastAsia"/>
          <w:u w:val="none"/>
          <w:lang w:val="en-US" w:eastAsia="zh-CN"/>
        </w:rPr>
        <w:t>；</w:t>
      </w:r>
    </w:p>
    <w:p>
      <w:pPr>
        <w:pStyle w:val="22"/>
        <w:bidi w:val="0"/>
      </w:pPr>
      <w: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pPr>
        <w:pStyle w:val="20"/>
        <w:bidi w:val="0"/>
      </w:pPr>
      <w:r>
        <w:t>包装</w:t>
      </w:r>
      <w:r>
        <w:rPr>
          <w:rFonts w:hint="eastAsia"/>
          <w:lang w:eastAsia="zh-CN"/>
        </w:rPr>
        <w:t>、</w:t>
      </w:r>
      <w:r>
        <w:t>装运</w:t>
      </w:r>
      <w:r>
        <w:rPr>
          <w:rFonts w:hint="eastAsia"/>
          <w:lang w:val="en-US" w:eastAsia="zh-CN"/>
        </w:rPr>
        <w:t>及风险担负</w:t>
      </w:r>
    </w:p>
    <w:p>
      <w:pPr>
        <w:pStyle w:val="22"/>
        <w:bidi w:val="0"/>
      </w:pPr>
      <w:r>
        <w:t>除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pPr>
        <w:pStyle w:val="22"/>
        <w:bidi w:val="0"/>
      </w:pPr>
      <w:r>
        <w:t>货物</w:t>
      </w:r>
      <w:r>
        <w:rPr>
          <w:rFonts w:hint="eastAsia"/>
          <w:lang w:val="en-US" w:eastAsia="zh-CN"/>
        </w:rPr>
        <w:t>运输</w:t>
      </w:r>
      <w:r>
        <w:t>的要求，</w:t>
      </w:r>
      <w:r>
        <w:rPr>
          <w:rFonts w:hint="eastAsia"/>
          <w:lang w:val="en-US" w:eastAsia="zh-CN"/>
        </w:rPr>
        <w:t>由乙方装运并运送至甲方指定地点</w:t>
      </w:r>
      <w:r>
        <w:t>。</w:t>
      </w:r>
    </w:p>
    <w:p>
      <w:pPr>
        <w:pStyle w:val="22"/>
        <w:bidi w:val="0"/>
      </w:pPr>
      <w:r>
        <w:t>货物</w:t>
      </w:r>
      <w:r>
        <w:rPr>
          <w:rFonts w:hint="eastAsia"/>
          <w:lang w:val="en-US" w:eastAsia="zh-CN"/>
        </w:rPr>
        <w:t>交付至甲方之前的</w:t>
      </w:r>
      <w:r>
        <w:t>毁损、灭失的风险</w:t>
      </w:r>
      <w:r>
        <w:rPr>
          <w:rFonts w:hint="eastAsia"/>
          <w:lang w:eastAsia="zh-CN"/>
        </w:rPr>
        <w:t>，</w:t>
      </w:r>
      <w:r>
        <w:rPr>
          <w:rFonts w:hint="eastAsia"/>
          <w:lang w:val="en-US" w:eastAsia="zh-CN"/>
        </w:rPr>
        <w:t>由乙方承担</w:t>
      </w:r>
      <w:r>
        <w:t>。</w:t>
      </w:r>
    </w:p>
    <w:p>
      <w:pPr>
        <w:pStyle w:val="20"/>
        <w:bidi w:val="0"/>
      </w:pPr>
      <w:r>
        <w:t>知识产权</w:t>
      </w:r>
    </w:p>
    <w:p>
      <w:pPr>
        <w:pStyle w:val="22"/>
        <w:bidi w:val="0"/>
      </w:pPr>
      <w:r>
        <w:t>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pPr>
        <w:pStyle w:val="22"/>
        <w:bidi w:val="0"/>
      </w:pPr>
      <w:r>
        <w:t>具有知识产权的计算机软件等货物的知识产权归属，</w:t>
      </w:r>
      <w:r>
        <w:rPr>
          <w:rFonts w:hint="eastAsia" w:eastAsia="宋体"/>
          <w:lang w:val="en-US" w:eastAsia="zh-CN"/>
        </w:rPr>
        <w:t>归属于甲方</w:t>
      </w:r>
      <w:r>
        <w:t>。</w:t>
      </w:r>
    </w:p>
    <w:p>
      <w:pPr>
        <w:pStyle w:val="20"/>
        <w:bidi w:val="0"/>
      </w:pPr>
      <w:r>
        <w:t>质量保证</w:t>
      </w:r>
    </w:p>
    <w:p>
      <w:pPr>
        <w:pStyle w:val="22"/>
        <w:bidi w:val="0"/>
      </w:pPr>
      <w:r>
        <w:t>乙方应建立和完善履行合同的内部质量保证体系，并提供相关内部规章制度给甲方，以便甲方进行监督检查；</w:t>
      </w:r>
    </w:p>
    <w:p>
      <w:pPr>
        <w:pStyle w:val="22"/>
        <w:bidi w:val="0"/>
      </w:pPr>
      <w:r>
        <w:t>乙方应保证履行合同的人员数量和素质、软件和硬件设备的配置、场地、环境和设施等满足全面履行合同的要求，并应接受甲方的监督检查。</w:t>
      </w:r>
    </w:p>
    <w:p>
      <w:pPr>
        <w:pStyle w:val="20"/>
        <w:bidi w:val="0"/>
      </w:pPr>
      <w:r>
        <w:t>违约责任</w:t>
      </w:r>
    </w:p>
    <w:p>
      <w:pPr>
        <w:pStyle w:val="22"/>
        <w:bidi w:val="0"/>
      </w:pPr>
      <w:r>
        <w:t>除不可抗力外，如果乙方没有按照本合同约定的期限、地点和方式交付货物，那么甲方可要求乙方支付违约金，违约金按每迟延交付货物一日的应交付而未交付货物价格的</w:t>
      </w:r>
      <w:r>
        <w:rPr>
          <w:rFonts w:hint="eastAsia"/>
          <w:highlight w:val="yellow"/>
          <w:u w:val="single"/>
          <w:lang w:eastAsia="zh-CN"/>
        </w:rPr>
        <w:t xml:space="preserve"> </w:t>
      </w:r>
      <w:r>
        <w:rPr>
          <w:rFonts w:hint="eastAsia"/>
          <w:highlight w:val="yellow"/>
          <w:u w:val="single"/>
          <w:lang w:val="en-US" w:eastAsia="zh-CN"/>
        </w:rPr>
        <w:t>1.0</w:t>
      </w:r>
      <w:r>
        <w:rPr>
          <w:rFonts w:hint="eastAsia"/>
          <w:highlight w:val="yellow"/>
          <w:u w:val="single"/>
          <w:lang w:eastAsia="zh-CN"/>
        </w:rPr>
        <w:t xml:space="preserve"> </w:t>
      </w:r>
      <w:r>
        <w:rPr>
          <w:highlight w:val="yellow"/>
        </w:rPr>
        <w:t>%</w:t>
      </w:r>
      <w:r>
        <w:t>计算；迟延交付货物</w:t>
      </w:r>
      <w:r>
        <w:rPr>
          <w:rFonts w:hint="eastAsia"/>
          <w:lang w:val="en-US" w:eastAsia="zh-CN"/>
        </w:rPr>
        <w:t>超过</w:t>
      </w:r>
      <w:r>
        <w:rPr>
          <w:rFonts w:hint="eastAsia"/>
          <w:highlight w:val="yellow"/>
          <w:u w:val="single"/>
          <w:lang w:eastAsia="zh-CN"/>
        </w:rPr>
        <w:t xml:space="preserve"> </w:t>
      </w:r>
      <w:r>
        <w:rPr>
          <w:rFonts w:hint="eastAsia"/>
          <w:highlight w:val="yellow"/>
          <w:u w:val="single"/>
          <w:lang w:val="en-US" w:eastAsia="zh-CN"/>
        </w:rPr>
        <w:t>10</w:t>
      </w:r>
      <w:r>
        <w:rPr>
          <w:rFonts w:hint="eastAsia"/>
          <w:highlight w:val="yellow"/>
          <w:u w:val="single"/>
          <w:lang w:eastAsia="zh-CN"/>
        </w:rPr>
        <w:t xml:space="preserve"> </w:t>
      </w:r>
      <w:r>
        <w:rPr>
          <w:rFonts w:hint="eastAsia"/>
          <w:u w:val="none"/>
          <w:lang w:val="en-US" w:eastAsia="zh-CN"/>
        </w:rPr>
        <w:t>日</w:t>
      </w:r>
      <w:r>
        <w:t>，甲方有权在要求乙方支付违约金的同时解除本合同；</w:t>
      </w:r>
    </w:p>
    <w:p>
      <w:pPr>
        <w:pStyle w:val="22"/>
        <w:bidi w:val="0"/>
      </w:pPr>
      <w:r>
        <w:t>除不可抗力外，任何一方未能履行本合同约定的</w:t>
      </w:r>
      <w:bookmarkStart w:id="14" w:name="_GoBack"/>
      <w:bookmarkEnd w:id="14"/>
      <w:r>
        <w:t>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pStyle w:val="22"/>
        <w:bidi w:val="0"/>
      </w:pPr>
      <w:r>
        <w:t>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pStyle w:val="22"/>
        <w:bidi w:val="0"/>
      </w:pPr>
      <w:r>
        <w:t>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pStyle w:val="22"/>
        <w:bidi w:val="0"/>
      </w:pPr>
      <w:r>
        <w:t>如果出现采购监督管理部门在处理投诉事项期间，书面通知甲方暂停采购活动的情形，或者询问或质疑事项可能影响中标结果的，导致甲方中止履行合同的情形，均不视为甲方违约。</w:t>
      </w:r>
    </w:p>
    <w:p>
      <w:pPr>
        <w:pStyle w:val="20"/>
        <w:bidi w:val="0"/>
      </w:pPr>
      <w:bookmarkStart w:id="10" w:name="1.7_合同争议的解决"/>
      <w:bookmarkEnd w:id="10"/>
      <w:r>
        <w:t>不可抗力</w:t>
      </w:r>
    </w:p>
    <w:p>
      <w:pPr>
        <w:pStyle w:val="22"/>
        <w:bidi w:val="0"/>
      </w:pPr>
      <w:r>
        <w:t>如果任何一方遭遇法律规定的不可抗力，致使合同履行受阻时，履行合同的期限应予延长，延长的期限应相当于不可抗力所影响的时间；</w:t>
      </w:r>
    </w:p>
    <w:p>
      <w:pPr>
        <w:pStyle w:val="22"/>
        <w:bidi w:val="0"/>
      </w:pPr>
      <w:r>
        <w:t>因不可抗力致使不能实现合同目的的，当事人可以解除合同；</w:t>
      </w:r>
    </w:p>
    <w:p>
      <w:pPr>
        <w:pStyle w:val="22"/>
        <w:bidi w:val="0"/>
      </w:pPr>
      <w:r>
        <w:t>因不可抗力致使合同有变更必要的，双方当事人应以书面形式变更合同；</w:t>
      </w:r>
    </w:p>
    <w:p>
      <w:pPr>
        <w:pStyle w:val="22"/>
        <w:bidi w:val="0"/>
      </w:pPr>
      <w:r>
        <w:t>受不可抗力影响的一方在不可抗力发生后，应在</w:t>
      </w:r>
      <w:r>
        <w:rPr>
          <w:rFonts w:hint="eastAsia"/>
          <w:lang w:val="en-US" w:eastAsia="zh-CN"/>
        </w:rPr>
        <w:t>不可抗力消除后十天</w:t>
      </w:r>
      <w:r>
        <w:t>内以书面形式通知对方当事人，并在</w:t>
      </w:r>
      <w:r>
        <w:rPr>
          <w:rFonts w:hint="eastAsia"/>
          <w:lang w:val="en-US" w:eastAsia="zh-CN"/>
        </w:rPr>
        <w:t>不可抗力消除后十天内</w:t>
      </w:r>
      <w:r>
        <w:t>将有关部门出具的证明文件送达对方当事人。</w:t>
      </w:r>
    </w:p>
    <w:p>
      <w:pPr>
        <w:pStyle w:val="20"/>
        <w:bidi w:val="0"/>
      </w:pPr>
      <w:r>
        <w:t>履约检查和问题反馈</w:t>
      </w:r>
    </w:p>
    <w:p>
      <w:pPr>
        <w:pStyle w:val="22"/>
        <w:bidi w:val="0"/>
      </w:pPr>
      <w:r>
        <w:t>甲方有权在其认为必要时，对乙方是否能够按照合同约定交付货物进行履约检查，以确保乙方所交付的货物能够依约满足甲方项目需求，乙方应予积极配合；</w:t>
      </w:r>
    </w:p>
    <w:p>
      <w:pPr>
        <w:pStyle w:val="22"/>
        <w:bidi w:val="0"/>
      </w:pPr>
      <w:r>
        <w:t>合同履行期间，甲方有权将履行过程中出现的问题反馈给乙方，双方当事人应以书面形式约定需要完善和改进的内容。</w:t>
      </w:r>
    </w:p>
    <w:p>
      <w:pPr>
        <w:pStyle w:val="20"/>
        <w:bidi w:val="0"/>
      </w:pPr>
      <w:r>
        <w:t>检验和验收</w:t>
      </w:r>
    </w:p>
    <w:p>
      <w:pPr>
        <w:pStyle w:val="22"/>
        <w:bidi w:val="0"/>
      </w:pPr>
      <w:r>
        <w:t>货物交付前，乙方应对货物的质量、数量等方面进行详细、全面的检验，并向甲方出具证明货物符合合同约定的文件。</w:t>
      </w:r>
    </w:p>
    <w:p>
      <w:pPr>
        <w:pStyle w:val="22"/>
        <w:bidi w:val="0"/>
      </w:pPr>
      <w:r>
        <w:t>合同期满或者履行完毕后，甲方有权组织（包括依法邀请国家认可的质量检测机构参加）对乙方履约的验收，即：按照合同约定的技术、服务、安全标准，组织对每一项技术、服务、安全标准的履约情况的验收，并出具验收书。</w:t>
      </w:r>
    </w:p>
    <w:p>
      <w:pPr>
        <w:pStyle w:val="22"/>
        <w:bidi w:val="0"/>
      </w:pPr>
      <w:r>
        <w:t>检验和验收标准</w:t>
      </w:r>
      <w:r>
        <w:rPr>
          <w:rFonts w:hint="eastAsia"/>
          <w:lang w:eastAsia="zh-CN"/>
        </w:rPr>
        <w:t>：</w:t>
      </w:r>
      <w:r>
        <w:rPr>
          <w:rFonts w:hint="eastAsia"/>
          <w:lang w:val="en-US" w:eastAsia="zh-CN"/>
        </w:rPr>
        <w:t>应满足国家或省、市等标准，且满足甲方要求</w:t>
      </w:r>
      <w:r>
        <w:t>。</w:t>
      </w:r>
    </w:p>
    <w:p>
      <w:pPr>
        <w:pStyle w:val="20"/>
        <w:bidi w:val="0"/>
      </w:pPr>
      <w:r>
        <w:t>技术资料和保密义务</w:t>
      </w:r>
    </w:p>
    <w:p>
      <w:pPr>
        <w:pStyle w:val="22"/>
        <w:bidi w:val="0"/>
      </w:pPr>
      <w:r>
        <w:t>乙方有义务妥善保管和保护</w:t>
      </w:r>
      <w:r>
        <w:rPr>
          <w:rFonts w:hint="eastAsia"/>
        </w:rPr>
        <w:t>依据合同约定和项目需要向甲方了解的有关情况或调阅的有关资料等信息</w:t>
      </w:r>
      <w:r>
        <w:t>；</w:t>
      </w:r>
    </w:p>
    <w:p>
      <w:pPr>
        <w:pStyle w:val="22"/>
        <w:bidi w:val="0"/>
        <w:rPr>
          <w:rFonts w:hint="eastAsia"/>
        </w:rPr>
      </w:pPr>
      <w:r>
        <w:t>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pPr>
        <w:pStyle w:val="20"/>
        <w:bidi w:val="0"/>
      </w:pPr>
      <w:r>
        <w:t>合同转让和分包</w:t>
      </w:r>
    </w:p>
    <w:p>
      <w:pPr>
        <w:pStyle w:val="30"/>
        <w:bidi w:val="0"/>
        <w:spacing w:before="0" w:after="0"/>
        <w:ind w:left="0" w:right="0"/>
        <w:jc w:val="left"/>
      </w:pPr>
      <w:r>
        <w:t>合同的权利义务依法不得转让，但经甲方同意，乙方可以依法采取分包方式履行合同，即：依法可以将合同项下的部分非主体、非关键性工作分包给他人完成，接受分包的人应当具备相应的资格条件，并</w:t>
      </w:r>
      <w:r>
        <w:rPr>
          <w:rFonts w:hint="eastAsia"/>
          <w:lang w:val="zh-CN" w:bidi="zh-CN"/>
        </w:rPr>
        <w:t>不得</w:t>
      </w:r>
      <w:r>
        <w:t>再次分包，且乙方应就分包项目向甲方负责，并与分包供应商就分包项目向甲方承担连带责任。</w:t>
      </w:r>
    </w:p>
    <w:p>
      <w:pPr>
        <w:pStyle w:val="20"/>
        <w:bidi w:val="0"/>
      </w:pPr>
      <w:r>
        <w:t>合同变更</w:t>
      </w:r>
      <w:r>
        <w:rPr>
          <w:rFonts w:hint="eastAsia"/>
          <w:lang w:eastAsia="zh-CN"/>
        </w:rPr>
        <w:t>、</w:t>
      </w:r>
      <w:r>
        <w:rPr>
          <w:rFonts w:hint="eastAsia"/>
          <w:lang w:val="en-US" w:eastAsia="zh-CN"/>
        </w:rPr>
        <w:t>中止、终止</w:t>
      </w:r>
    </w:p>
    <w:p>
      <w:pPr>
        <w:pStyle w:val="22"/>
        <w:bidi w:val="0"/>
      </w:pPr>
      <w:r>
        <w:rPr>
          <w:rFonts w:hint="eastAsia"/>
        </w:rPr>
        <w:t>双方当事人不得擅自中止或者终止合同</w:t>
      </w:r>
      <w:r>
        <w:rPr>
          <w:rFonts w:hint="eastAsia"/>
          <w:lang w:eastAsia="zh-CN"/>
        </w:rPr>
        <w:t>；</w:t>
      </w:r>
    </w:p>
    <w:p>
      <w:pPr>
        <w:pStyle w:val="22"/>
        <w:bidi w:val="0"/>
      </w:pPr>
      <w:r>
        <w:t>双方当事人协商一致</w:t>
      </w:r>
      <w:r>
        <w:rPr>
          <w:rFonts w:hint="eastAsia"/>
          <w:lang w:val="en-US" w:eastAsia="zh-CN"/>
        </w:rPr>
        <w:t>时</w:t>
      </w:r>
      <w:r>
        <w:t>，可以签订书面补充合同的形式变更合同；</w:t>
      </w:r>
    </w:p>
    <w:p>
      <w:pPr>
        <w:pStyle w:val="22"/>
        <w:bidi w:val="0"/>
      </w:pPr>
      <w:r>
        <w:t>合同继续履行将损害国家利益和社会公共利益的，双方当事人应当中止或者终止</w:t>
      </w:r>
      <w:r>
        <w:rPr>
          <w:rFonts w:hint="eastAsia"/>
          <w:lang w:val="en-US" w:eastAsia="zh-CN"/>
        </w:rPr>
        <w:t>合同，或</w:t>
      </w:r>
      <w:r>
        <w:t>以书面形式变更合同。有过错的一方应当承担赔偿责任，双方当事人都有过错的，各自承担相应的责任。</w:t>
      </w:r>
    </w:p>
    <w:p>
      <w:pPr>
        <w:pStyle w:val="20"/>
        <w:bidi w:val="0"/>
      </w:pPr>
      <w:r>
        <w:t>合同争议的解决</w:t>
      </w:r>
    </w:p>
    <w:p>
      <w:pPr>
        <w:pStyle w:val="30"/>
        <w:bidi w:val="0"/>
      </w:pPr>
      <w:r>
        <w:t>本合同履行过程中发生的任何争议，</w:t>
      </w:r>
      <w:r>
        <w:rPr>
          <w:rFonts w:hint="eastAsia"/>
          <w:lang w:val="zh-CN" w:bidi="zh-CN"/>
        </w:rPr>
        <w:t>双方</w:t>
      </w:r>
      <w:r>
        <w:t>当事人均可通过和解或者调解解决；不愿和解、调解或者和解、调解不成的，可以向</w:t>
      </w:r>
      <w:r>
        <w:rPr>
          <w:rFonts w:hint="eastAsia"/>
          <w:u w:val="single"/>
          <w:lang w:eastAsia="zh-CN"/>
        </w:rPr>
        <w:t xml:space="preserve"> </w:t>
      </w:r>
      <w:r>
        <w:rPr>
          <w:rFonts w:hint="eastAsia"/>
          <w:u w:val="single"/>
          <w:lang w:val="en-US" w:eastAsia="zh-CN"/>
        </w:rPr>
        <w:t xml:space="preserve">甲方所在地 </w:t>
      </w:r>
      <w:r>
        <w:t>人民法院起诉。</w:t>
      </w:r>
    </w:p>
    <w:p>
      <w:pPr>
        <w:pStyle w:val="20"/>
        <w:bidi w:val="0"/>
      </w:pPr>
      <w:bookmarkStart w:id="11" w:name="1.8_合同生效"/>
      <w:bookmarkEnd w:id="11"/>
      <w:r>
        <w:t>合同份数</w:t>
      </w:r>
    </w:p>
    <w:p>
      <w:pPr>
        <w:pStyle w:val="30"/>
        <w:bidi w:val="0"/>
        <w:spacing w:before="0" w:after="0"/>
        <w:ind w:left="0" w:right="0"/>
        <w:jc w:val="left"/>
      </w:pPr>
      <w:r>
        <w:rPr>
          <w:rFonts w:hint="eastAsia"/>
          <w:lang w:val="en-US" w:eastAsia="zh-CN"/>
        </w:rPr>
        <w:t>本</w:t>
      </w:r>
      <w:r>
        <w:t>合同</w:t>
      </w:r>
      <w:r>
        <w:rPr>
          <w:rFonts w:hint="eastAsia"/>
          <w:lang w:val="en-US" w:eastAsia="zh-CN"/>
        </w:rPr>
        <w:t>壹式</w:t>
      </w:r>
      <w:r>
        <w:rPr>
          <w:rFonts w:hint="eastAsia"/>
          <w:u w:val="single"/>
          <w:lang w:eastAsia="zh-CN"/>
        </w:rPr>
        <w:t xml:space="preserve"> </w:t>
      </w:r>
      <w:r>
        <w:rPr>
          <w:rFonts w:hint="eastAsia"/>
          <w:u w:val="single"/>
          <w:lang w:val="en-US" w:eastAsia="zh-CN"/>
        </w:rPr>
        <w:t>肆</w:t>
      </w:r>
      <w:r>
        <w:rPr>
          <w:rFonts w:hint="eastAsia"/>
          <w:u w:val="single"/>
          <w:lang w:eastAsia="zh-CN"/>
        </w:rPr>
        <w:t xml:space="preserve"> </w:t>
      </w:r>
      <w:r>
        <w:rPr>
          <w:rFonts w:hint="eastAsia"/>
          <w:lang w:val="en-US" w:eastAsia="zh-CN"/>
        </w:rPr>
        <w:t>份，甲方持</w:t>
      </w:r>
      <w:r>
        <w:rPr>
          <w:rFonts w:hint="eastAsia"/>
          <w:u w:val="single"/>
          <w:lang w:eastAsia="zh-CN"/>
        </w:rPr>
        <w:t xml:space="preserve"> </w:t>
      </w:r>
      <w:r>
        <w:rPr>
          <w:rFonts w:hint="eastAsia"/>
          <w:u w:val="single"/>
          <w:lang w:val="en-US" w:eastAsia="zh-CN"/>
        </w:rPr>
        <w:t>叁</w:t>
      </w:r>
      <w:r>
        <w:rPr>
          <w:rFonts w:hint="eastAsia"/>
          <w:u w:val="single"/>
          <w:lang w:eastAsia="zh-CN"/>
        </w:rPr>
        <w:t xml:space="preserve"> </w:t>
      </w:r>
      <w:r>
        <w:rPr>
          <w:rFonts w:hint="eastAsia"/>
          <w:lang w:val="en-US" w:eastAsia="zh-CN"/>
        </w:rPr>
        <w:t>份，乙方持</w:t>
      </w:r>
      <w:r>
        <w:rPr>
          <w:rFonts w:hint="eastAsia"/>
          <w:u w:val="single"/>
          <w:lang w:eastAsia="zh-CN"/>
        </w:rPr>
        <w:t xml:space="preserve"> </w:t>
      </w:r>
      <w:r>
        <w:rPr>
          <w:rFonts w:hint="eastAsia"/>
          <w:u w:val="single"/>
          <w:lang w:val="en-US" w:eastAsia="zh-CN"/>
        </w:rPr>
        <w:t>壹</w:t>
      </w:r>
      <w:r>
        <w:rPr>
          <w:rFonts w:hint="eastAsia"/>
          <w:u w:val="single"/>
          <w:lang w:eastAsia="zh-CN"/>
        </w:rPr>
        <w:t xml:space="preserve"> </w:t>
      </w:r>
      <w:r>
        <w:rPr>
          <w:rFonts w:hint="eastAsia"/>
          <w:lang w:val="en-US" w:eastAsia="zh-CN"/>
        </w:rPr>
        <w:t>份。</w:t>
      </w:r>
    </w:p>
    <w:p>
      <w:pPr>
        <w:rPr>
          <w:rFonts w:hint="eastAsia"/>
        </w:rPr>
      </w:pPr>
    </w:p>
    <w:p>
      <w:pPr>
        <w:pStyle w:val="20"/>
        <w:bidi w:val="0"/>
      </w:pPr>
      <w:r>
        <w:t>合同生效</w:t>
      </w:r>
    </w:p>
    <w:p>
      <w:pPr>
        <w:pStyle w:val="30"/>
        <w:bidi w:val="0"/>
        <w:spacing w:before="0" w:after="0"/>
        <w:ind w:left="0" w:right="0"/>
        <w:jc w:val="left"/>
      </w:pPr>
      <w:r>
        <w:t>本合同自</w:t>
      </w:r>
      <w:r>
        <w:rPr>
          <w:rFonts w:hint="eastAsia"/>
          <w:lang w:val="en-US" w:eastAsia="zh-CN"/>
        </w:rPr>
        <w:t>甲乙</w:t>
      </w:r>
      <w:r>
        <w:t>双方</w:t>
      </w:r>
      <w:r>
        <w:rPr>
          <w:rFonts w:hint="eastAsia"/>
          <w:lang w:val="en-US" w:eastAsia="zh-CN"/>
        </w:rPr>
        <w:t>签字、</w:t>
      </w:r>
      <w:r>
        <w:t>盖章</w:t>
      </w:r>
      <w:r>
        <w:rPr>
          <w:rFonts w:hint="eastAsia"/>
          <w:lang w:val="en-US" w:eastAsia="zh-CN"/>
        </w:rPr>
        <w:t>后</w:t>
      </w:r>
      <w:r>
        <w:t>生效。</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28"/>
        <w:gridCol w:w="442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3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甲方：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eastAsia="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default" w:asciiTheme="minorEastAsia" w:hAnsiTheme="minorEastAsia" w:eastAsiaTheme="minorEastAsia" w:cstheme="minorEastAsia"/>
                <w:sz w:val="24"/>
                <w:szCs w:val="24"/>
                <w:u w:val="single"/>
                <w:lang w:val="en-US" w:eastAsia="zh-CN" w:bidi="zh-CN"/>
              </w:rPr>
            </w:pPr>
            <w:r>
              <w:rPr>
                <w:rFonts w:hint="eastAsia" w:asciiTheme="minorEastAsia" w:hAnsiTheme="minorEastAsia" w:eastAsiaTheme="minorEastAsia" w:cstheme="minorEastAsia"/>
                <w:sz w:val="24"/>
                <w:szCs w:val="24"/>
                <w:lang w:val="en-US" w:eastAsia="zh-CN" w:bidi="zh-CN"/>
              </w:rPr>
              <w:t>乙</w:t>
            </w:r>
            <w:r>
              <w:rPr>
                <w:rFonts w:hint="eastAsia" w:asciiTheme="minorEastAsia" w:hAnsiTheme="minorEastAsia" w:eastAsiaTheme="minorEastAsia" w:cstheme="minorEastAsia"/>
                <w:sz w:val="24"/>
                <w:szCs w:val="24"/>
                <w:lang w:val="zh-CN" w:bidi="zh-CN"/>
              </w:rPr>
              <w:t>方：</w:t>
            </w:r>
            <w:r>
              <w:rPr>
                <w:rFonts w:hint="eastAsia" w:asciiTheme="minorEastAsia" w:hAnsiTheme="minorEastAsia" w:eastAsiaTheme="minorEastAsia" w:cstheme="minorEastAsia"/>
                <w:sz w:val="24"/>
                <w:szCs w:val="24"/>
                <w:u w:val="single"/>
                <w:lang w:val="en-US" w:bidi="zh-CN"/>
              </w:rPr>
              <w:t xml:space="preserve">    </w:t>
            </w:r>
            <w:r>
              <w:rPr>
                <w:rFonts w:hint="eastAsia" w:asciiTheme="minorEastAsia" w:hAnsiTheme="minorEastAsia" w:eastAsiaTheme="minorEastAsia" w:cstheme="minorEastAsia"/>
                <w:sz w:val="24"/>
                <w:szCs w:val="24"/>
                <w:u w:val="single"/>
                <w:lang w:val="zh-CN" w:bidi="zh-CN"/>
              </w:rPr>
              <w:t>（单位盖章）</w:t>
            </w:r>
            <w:r>
              <w:rPr>
                <w:rFonts w:hint="eastAsia" w:asciiTheme="minorEastAsia" w:hAnsiTheme="minorEastAsia" w:eastAsiaTheme="minorEastAsia" w:cstheme="minorEastAsia"/>
                <w:sz w:val="24"/>
                <w:szCs w:val="24"/>
                <w:u w:val="single"/>
                <w:lang w:val="en-US" w:bidi="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法定代表人</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或授权代表（签字）：</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rPr>
                <w:rFonts w:hint="eastAsia" w:asciiTheme="minorEastAsia" w:hAnsiTheme="minorEastAsia" w:eastAsiaTheme="minorEastAsia" w:cstheme="minorEastAsia"/>
                <w:sz w:val="24"/>
                <w:szCs w:val="24"/>
                <w:lang w:val="zh-CN" w:bidi="zh-CN"/>
              </w:rPr>
              <w:t>时间：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年</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月</w:t>
            </w:r>
            <w:r>
              <w:rPr>
                <w:rFonts w:hint="eastAsia" w:asciiTheme="minorEastAsia" w:hAnsiTheme="minorEastAsia" w:eastAsiaTheme="minorEastAsia" w:cstheme="minorEastAsia"/>
                <w:sz w:val="24"/>
                <w:szCs w:val="24"/>
                <w:u w:val="single"/>
                <w:lang w:val="en-US" w:eastAsia="zh-CN" w:bidi="zh-CN"/>
              </w:rPr>
              <w:t xml:space="preserve">    </w:t>
            </w:r>
            <w:r>
              <w:rPr>
                <w:rFonts w:hint="eastAsia" w:asciiTheme="minorEastAsia" w:hAnsiTheme="minorEastAsia" w:eastAsiaTheme="minorEastAsia" w:cstheme="minorEastAsia"/>
                <w:sz w:val="24"/>
                <w:szCs w:val="24"/>
                <w:lang w:val="zh-CN" w:bidi="zh-CN"/>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60" w:hRule="atLeast"/>
          <w:jc w:val="center"/>
        </w:trPr>
        <w:tc>
          <w:tcPr>
            <w:tcW w:w="4428" w:type="dxa"/>
            <w:tcBorders>
              <w:tl2br w:val="nil"/>
              <w:tr2bl w:val="nil"/>
            </w:tcBorders>
            <w:vAlign w:val="bottom"/>
          </w:tcPr>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p>
        </w:tc>
        <w:tc>
          <w:tcPr>
            <w:tcW w:w="4428" w:type="dxa"/>
            <w:tcBorders>
              <w:tl2br w:val="nil"/>
              <w:tr2bl w:val="nil"/>
            </w:tcBorders>
            <w:vAlign w:val="bottom"/>
          </w:tcPr>
          <w:p>
            <w:pPr>
              <w:jc w:val="both"/>
            </w:pPr>
            <w:r>
              <w:t>乙方账户信息</w:t>
            </w:r>
          </w:p>
          <w:p>
            <w:pPr>
              <w:jc w:val="both"/>
              <w:rPr>
                <w:rFonts w:hint="eastAsia" w:eastAsia="宋体"/>
                <w:lang w:eastAsia="zh-CN"/>
              </w:rPr>
            </w:pPr>
            <w:r>
              <w:t>户名：</w:t>
            </w:r>
            <w:r>
              <w:rPr>
                <w:rFonts w:hint="eastAsia"/>
                <w:u w:val="single"/>
                <w:lang w:eastAsia="zh-CN"/>
              </w:rPr>
              <w:t xml:space="preserve">      </w:t>
            </w:r>
            <w:r>
              <w:rPr>
                <w:rFonts w:hint="eastAsia"/>
                <w:u w:val="single"/>
                <w:lang w:val="en-US" w:eastAsia="zh-CN"/>
              </w:rPr>
              <w:t xml:space="preserve">                </w:t>
            </w:r>
          </w:p>
          <w:p>
            <w:pPr>
              <w:jc w:val="both"/>
              <w:rPr>
                <w:rFonts w:hint="eastAsia" w:eastAsia="宋体"/>
                <w:lang w:eastAsia="zh-CN"/>
              </w:rPr>
            </w:pPr>
            <w:r>
              <w:t>账号：</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p>
          <w:p>
            <w:pPr>
              <w:keepNext w:val="0"/>
              <w:keepLines w:val="0"/>
              <w:pageBreakBefore w:val="0"/>
              <w:widowControl w:val="0"/>
              <w:kinsoku/>
              <w:wordWrap/>
              <w:overflowPunct/>
              <w:topLinePunct w:val="0"/>
              <w:autoSpaceDE w:val="0"/>
              <w:autoSpaceDN w:val="0"/>
              <w:bidi w:val="0"/>
              <w:adjustRightInd/>
              <w:snapToGrid/>
              <w:spacing w:before="0" w:after="0" w:line="560" w:lineRule="exact"/>
              <w:ind w:left="0" w:right="0"/>
              <w:jc w:val="left"/>
              <w:textAlignment w:val="auto"/>
              <w:rPr>
                <w:rFonts w:hint="eastAsia" w:asciiTheme="minorEastAsia" w:hAnsiTheme="minorEastAsia" w:eastAsiaTheme="minorEastAsia" w:cstheme="minorEastAsia"/>
                <w:sz w:val="24"/>
                <w:szCs w:val="24"/>
                <w:lang w:val="zh-CN" w:bidi="zh-CN"/>
              </w:rPr>
            </w:pPr>
            <w:r>
              <w:t>开户银行：</w:t>
            </w:r>
            <w:r>
              <w:rPr>
                <w:rFonts w:hint="eastAsia"/>
                <w:u w:val="single"/>
                <w:lang w:eastAsia="zh-CN"/>
              </w:rPr>
              <w:t xml:space="preserve">     </w:t>
            </w:r>
            <w:r>
              <w:rPr>
                <w:rFonts w:hint="eastAsia"/>
                <w:u w:val="single"/>
                <w:lang w:val="en-US" w:eastAsia="zh-CN"/>
              </w:rPr>
              <w:t xml:space="preserve">             </w:t>
            </w:r>
          </w:p>
        </w:tc>
      </w:tr>
    </w:tbl>
    <w:p/>
    <w:p>
      <w:pPr>
        <w:rPr>
          <w:rFonts w:hint="eastAsia"/>
        </w:rPr>
      </w:pPr>
      <w:bookmarkStart w:id="12" w:name="第二部分_合同一般条款"/>
      <w:bookmarkEnd w:id="12"/>
      <w:bookmarkStart w:id="13" w:name="2.1_定义"/>
      <w:bookmarkEnd w:id="13"/>
    </w:p>
    <w:sectPr>
      <w:headerReference r:id="rId5" w:type="default"/>
      <w:footerReference r:id="rId6" w:type="default"/>
      <w:pgSz w:w="11910" w:h="16840"/>
      <w:pgMar w:top="1417" w:right="1420" w:bottom="1417" w:left="1420" w:header="850" w:footer="1020" w:gutter="0"/>
      <w:pgNumType w:fmt="decimal"/>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bidi w:val="0"/>
      <w:jc w:val="left"/>
      <w:rPr>
        <w:rFonts w:hint="default"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rPr>
      <w:t>肥西县三河文旅发展有限公司货物采购合</w:t>
    </w:r>
    <w:r>
      <w:rPr>
        <w:rFonts w:hint="eastAsia" w:asciiTheme="majorEastAsia" w:hAnsiTheme="majorEastAsia" w:eastAsiaTheme="majorEastAsia" w:cstheme="majorEastAsia"/>
        <w:sz w:val="18"/>
        <w:szCs w:val="18"/>
        <w:lang w:val="en-US" w:eastAsia="zh-CN"/>
      </w:rPr>
      <w:t>同范本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D3A854"/>
    <w:multiLevelType w:val="multilevel"/>
    <w:tmpl w:val="DAD3A854"/>
    <w:lvl w:ilvl="0" w:tentative="0">
      <w:start w:val="2"/>
      <w:numFmt w:val="decimal"/>
      <w:lvlText w:val="%1"/>
      <w:lvlJc w:val="left"/>
      <w:pPr>
        <w:ind w:left="1299" w:hanging="483"/>
      </w:pPr>
      <w:rPr>
        <w:rFonts w:hint="default"/>
      </w:rPr>
    </w:lvl>
    <w:lvl w:ilvl="1" w:tentative="0">
      <w:start w:val="1"/>
      <w:numFmt w:val="decimal"/>
      <w:pStyle w:val="5"/>
      <w:lvlText w:val="%1.%2"/>
      <w:lvlJc w:val="left"/>
      <w:pPr>
        <w:ind w:left="1299" w:hanging="483"/>
      </w:pPr>
      <w:rPr>
        <w:rFonts w:hint="default" w:ascii="宋体" w:hAnsi="宋体" w:eastAsia="宋体" w:cs="宋体"/>
        <w:b/>
        <w:bCs/>
        <w:spacing w:val="0"/>
        <w:w w:val="99"/>
        <w:sz w:val="24"/>
        <w:szCs w:val="24"/>
      </w:rPr>
    </w:lvl>
    <w:lvl w:ilvl="2" w:tentative="0">
      <w:start w:val="1"/>
      <w:numFmt w:val="decimal"/>
      <w:lvlText w:val="%1.%2.%3"/>
      <w:lvlJc w:val="left"/>
      <w:pPr>
        <w:ind w:left="380" w:hanging="601"/>
      </w:pPr>
      <w:rPr>
        <w:rFonts w:hint="default" w:ascii="宋体" w:hAnsi="宋体" w:eastAsia="宋体" w:cs="宋体"/>
        <w:w w:val="100"/>
        <w:sz w:val="22"/>
        <w:szCs w:val="22"/>
      </w:rPr>
    </w:lvl>
    <w:lvl w:ilvl="3" w:tentative="0">
      <w:start w:val="0"/>
      <w:numFmt w:val="bullet"/>
      <w:lvlText w:val="•"/>
      <w:lvlJc w:val="left"/>
      <w:pPr>
        <w:ind w:left="1600" w:hanging="601"/>
      </w:pPr>
      <w:rPr>
        <w:rFonts w:hint="default"/>
      </w:rPr>
    </w:lvl>
    <w:lvl w:ilvl="4" w:tentative="0">
      <w:start w:val="0"/>
      <w:numFmt w:val="bullet"/>
      <w:lvlText w:val="•"/>
      <w:lvlJc w:val="left"/>
      <w:pPr>
        <w:ind w:left="2666" w:hanging="601"/>
      </w:pPr>
      <w:rPr>
        <w:rFonts w:hint="default"/>
      </w:rPr>
    </w:lvl>
    <w:lvl w:ilvl="5" w:tentative="0">
      <w:start w:val="0"/>
      <w:numFmt w:val="bullet"/>
      <w:lvlText w:val="•"/>
      <w:lvlJc w:val="left"/>
      <w:pPr>
        <w:ind w:left="3733" w:hanging="601"/>
      </w:pPr>
      <w:rPr>
        <w:rFonts w:hint="default"/>
      </w:rPr>
    </w:lvl>
    <w:lvl w:ilvl="6" w:tentative="0">
      <w:start w:val="0"/>
      <w:numFmt w:val="bullet"/>
      <w:lvlText w:val="•"/>
      <w:lvlJc w:val="left"/>
      <w:pPr>
        <w:ind w:left="4799" w:hanging="601"/>
      </w:pPr>
      <w:rPr>
        <w:rFonts w:hint="default"/>
      </w:rPr>
    </w:lvl>
    <w:lvl w:ilvl="7" w:tentative="0">
      <w:start w:val="0"/>
      <w:numFmt w:val="bullet"/>
      <w:lvlText w:val="•"/>
      <w:lvlJc w:val="left"/>
      <w:pPr>
        <w:ind w:left="5866" w:hanging="601"/>
      </w:pPr>
      <w:rPr>
        <w:rFonts w:hint="default"/>
      </w:rPr>
    </w:lvl>
    <w:lvl w:ilvl="8" w:tentative="0">
      <w:start w:val="0"/>
      <w:numFmt w:val="bullet"/>
      <w:lvlText w:val="•"/>
      <w:lvlJc w:val="left"/>
      <w:pPr>
        <w:ind w:left="6932" w:hanging="601"/>
      </w:pPr>
      <w:rPr>
        <w:rFonts w:hint="default"/>
      </w:rPr>
    </w:lvl>
  </w:abstractNum>
  <w:abstractNum w:abstractNumId="1">
    <w:nsid w:val="1A4A3690"/>
    <w:multiLevelType w:val="multilevel"/>
    <w:tmpl w:val="1A4A3690"/>
    <w:lvl w:ilvl="0" w:tentative="0">
      <w:start w:val="1"/>
      <w:numFmt w:val="decimal"/>
      <w:lvlText w:val="%1"/>
      <w:lvlJc w:val="left"/>
      <w:pPr>
        <w:ind w:left="480" w:hanging="480"/>
      </w:pPr>
      <w:rPr>
        <w:rFonts w:hint="default"/>
      </w:rPr>
    </w:lvl>
    <w:lvl w:ilvl="1" w:tentative="0">
      <w:start w:val="1"/>
      <w:numFmt w:val="decimal"/>
      <w:pStyle w:val="16"/>
      <w:lvlText w:val="%1.%2"/>
      <w:lvlJc w:val="left"/>
      <w:pPr>
        <w:ind w:left="960" w:hanging="480"/>
      </w:pPr>
      <w:rPr>
        <w:rFonts w:hint="default"/>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520" w:hanging="108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840" w:hanging="1440"/>
      </w:pPr>
      <w:rPr>
        <w:rFonts w:hint="default"/>
      </w:rPr>
    </w:lvl>
    <w:lvl w:ilvl="6" w:tentative="0">
      <w:start w:val="1"/>
      <w:numFmt w:val="decimal"/>
      <w:lvlText w:val="%1.%2.%3.%4.%5.%6.%7"/>
      <w:lvlJc w:val="left"/>
      <w:pPr>
        <w:ind w:left="4680" w:hanging="1800"/>
      </w:pPr>
      <w:rPr>
        <w:rFonts w:hint="default"/>
      </w:rPr>
    </w:lvl>
    <w:lvl w:ilvl="7" w:tentative="0">
      <w:start w:val="1"/>
      <w:numFmt w:val="decimal"/>
      <w:lvlText w:val="%1.%2.%3.%4.%5.%6.%7.%8"/>
      <w:lvlJc w:val="left"/>
      <w:pPr>
        <w:ind w:left="5160" w:hanging="1800"/>
      </w:pPr>
      <w:rPr>
        <w:rFonts w:hint="default"/>
      </w:rPr>
    </w:lvl>
    <w:lvl w:ilvl="8" w:tentative="0">
      <w:start w:val="1"/>
      <w:numFmt w:val="decimal"/>
      <w:lvlText w:val="%1.%2.%3.%4.%5.%6.%7.%8.%9"/>
      <w:lvlJc w:val="left"/>
      <w:pPr>
        <w:ind w:left="6000" w:hanging="2160"/>
      </w:pPr>
      <w:rPr>
        <w:rFonts w:hint="default"/>
      </w:rPr>
    </w:lvl>
  </w:abstractNum>
  <w:abstractNum w:abstractNumId="2">
    <w:nsid w:val="5EA5F1F5"/>
    <w:multiLevelType w:val="multilevel"/>
    <w:tmpl w:val="5EA5F1F5"/>
    <w:lvl w:ilvl="0" w:tentative="0">
      <w:start w:val="1"/>
      <w:numFmt w:val="chineseCounting"/>
      <w:pStyle w:val="18"/>
      <w:suff w:val="space"/>
      <w:lvlText w:val="第%1部分"/>
      <w:lvlJc w:val="left"/>
      <w:pPr>
        <w:tabs>
          <w:tab w:val="left" w:pos="0"/>
        </w:tabs>
        <w:ind w:left="0" w:leftChars="0" w:firstLine="0" w:firstLineChars="0"/>
        <w:jc w:val="left"/>
      </w:pPr>
      <w:rPr>
        <w:rFonts w:hint="eastAsia" w:ascii="宋体" w:hAnsi="宋体" w:eastAsia="宋体" w:cs="宋体"/>
      </w:rPr>
    </w:lvl>
    <w:lvl w:ilvl="1" w:tentative="0">
      <w:start w:val="1"/>
      <w:numFmt w:val="decimal"/>
      <w:pStyle w:val="20"/>
      <w:isLgl/>
      <w:suff w:val="space"/>
      <w:lvlText w:val="%1.%2"/>
      <w:lvlJc w:val="left"/>
      <w:pPr>
        <w:tabs>
          <w:tab w:val="left" w:pos="0"/>
        </w:tabs>
        <w:ind w:left="0" w:leftChars="0" w:firstLine="816" w:firstLineChars="0"/>
        <w:jc w:val="left"/>
      </w:pPr>
      <w:rPr>
        <w:rFonts w:hint="eastAsia" w:ascii="宋体" w:hAnsi="宋体" w:eastAsia="宋体" w:cs="宋体"/>
        <w:b/>
        <w:bCs/>
        <w:spacing w:val="0"/>
        <w:w w:val="99"/>
        <w:sz w:val="24"/>
        <w:szCs w:val="24"/>
      </w:rPr>
    </w:lvl>
    <w:lvl w:ilvl="2" w:tentative="0">
      <w:start w:val="1"/>
      <w:numFmt w:val="decimal"/>
      <w:pStyle w:val="22"/>
      <w:isLgl/>
      <w:suff w:val="space"/>
      <w:lvlText w:val="%1.%2.%3"/>
      <w:lvlJc w:val="left"/>
      <w:pPr>
        <w:tabs>
          <w:tab w:val="left" w:pos="420"/>
        </w:tabs>
        <w:ind w:left="0" w:leftChars="0" w:firstLine="814" w:firstLineChars="0"/>
        <w:jc w:val="left"/>
      </w:pPr>
      <w:rPr>
        <w:rFonts w:hint="eastAsia" w:ascii="宋体" w:hAnsi="宋体" w:eastAsia="宋体" w:cs="宋体"/>
        <w:w w:val="100"/>
        <w:sz w:val="24"/>
        <w:szCs w:val="24"/>
      </w:rPr>
    </w:lvl>
    <w:lvl w:ilvl="3" w:tentative="0">
      <w:start w:val="0"/>
      <w:numFmt w:val="bullet"/>
      <w:lvlText w:val="•"/>
      <w:lvlJc w:val="left"/>
      <w:pPr>
        <w:tabs>
          <w:tab w:val="left" w:pos="420"/>
        </w:tabs>
        <w:ind w:left="2428" w:hanging="660"/>
      </w:pPr>
      <w:rPr>
        <w:rFonts w:hint="eastAsia" w:ascii="宋体" w:hAnsi="宋体" w:eastAsia="宋体" w:cs="宋体"/>
      </w:rPr>
    </w:lvl>
    <w:lvl w:ilvl="4" w:tentative="0">
      <w:start w:val="0"/>
      <w:numFmt w:val="bullet"/>
      <w:lvlText w:val="•"/>
      <w:lvlJc w:val="left"/>
      <w:pPr>
        <w:ind w:left="3376" w:hanging="660"/>
      </w:pPr>
      <w:rPr>
        <w:rFonts w:hint="eastAsia"/>
      </w:rPr>
    </w:lvl>
    <w:lvl w:ilvl="5" w:tentative="0">
      <w:start w:val="0"/>
      <w:numFmt w:val="bullet"/>
      <w:lvlText w:val="•"/>
      <w:lvlJc w:val="left"/>
      <w:pPr>
        <w:ind w:left="4324" w:hanging="660"/>
      </w:pPr>
      <w:rPr>
        <w:rFonts w:hint="eastAsia"/>
      </w:rPr>
    </w:lvl>
    <w:lvl w:ilvl="6" w:tentative="0">
      <w:start w:val="0"/>
      <w:numFmt w:val="bullet"/>
      <w:lvlText w:val="•"/>
      <w:lvlJc w:val="left"/>
      <w:pPr>
        <w:ind w:left="5273" w:hanging="660"/>
      </w:pPr>
      <w:rPr>
        <w:rFonts w:hint="eastAsia"/>
      </w:rPr>
    </w:lvl>
    <w:lvl w:ilvl="7" w:tentative="0">
      <w:start w:val="0"/>
      <w:numFmt w:val="bullet"/>
      <w:lvlText w:val="•"/>
      <w:lvlJc w:val="left"/>
      <w:pPr>
        <w:ind w:left="6221" w:hanging="660"/>
      </w:pPr>
      <w:rPr>
        <w:rFonts w:hint="eastAsia"/>
      </w:rPr>
    </w:lvl>
    <w:lvl w:ilvl="8" w:tentative="0">
      <w:start w:val="0"/>
      <w:numFmt w:val="bullet"/>
      <w:lvlText w:val="•"/>
      <w:lvlJc w:val="left"/>
      <w:pPr>
        <w:ind w:left="7169" w:hanging="660"/>
      </w:pPr>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3,4"/>
    </o:shapelayout>
  </w:hdrShapeDefaults>
  <w:footnotePr>
    <w:footnote w:id="0"/>
    <w:footnote w:id="1"/>
  </w:footnotePr>
  <w:endnotePr>
    <w:endnote w:id="0"/>
    <w:endnote w:id="1"/>
  </w:endnotePr>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N2U2NDg0MWNlZDk0NmJiN2Q3MjlmMmM5ZTQ2NzMifQ=="/>
  </w:docVars>
  <w:rsids>
    <w:rsidRoot w:val="002B58D8"/>
    <w:rsid w:val="00046B19"/>
    <w:rsid w:val="00051156"/>
    <w:rsid w:val="00130376"/>
    <w:rsid w:val="00224236"/>
    <w:rsid w:val="00266622"/>
    <w:rsid w:val="002B58D8"/>
    <w:rsid w:val="002E49AD"/>
    <w:rsid w:val="00347A8B"/>
    <w:rsid w:val="003768DB"/>
    <w:rsid w:val="00416E91"/>
    <w:rsid w:val="004326E4"/>
    <w:rsid w:val="004D779F"/>
    <w:rsid w:val="005709F7"/>
    <w:rsid w:val="0057550F"/>
    <w:rsid w:val="005F0050"/>
    <w:rsid w:val="00632F68"/>
    <w:rsid w:val="006F0D5D"/>
    <w:rsid w:val="00847D31"/>
    <w:rsid w:val="00892CA2"/>
    <w:rsid w:val="009065C7"/>
    <w:rsid w:val="00987367"/>
    <w:rsid w:val="00A9680C"/>
    <w:rsid w:val="00B00F27"/>
    <w:rsid w:val="00B5105A"/>
    <w:rsid w:val="00CF71DA"/>
    <w:rsid w:val="00D87C46"/>
    <w:rsid w:val="00E616C9"/>
    <w:rsid w:val="00F45CE1"/>
    <w:rsid w:val="02054F52"/>
    <w:rsid w:val="028E451D"/>
    <w:rsid w:val="067701EB"/>
    <w:rsid w:val="067C282B"/>
    <w:rsid w:val="06AB0764"/>
    <w:rsid w:val="089F1C5C"/>
    <w:rsid w:val="08A52E38"/>
    <w:rsid w:val="09B035B2"/>
    <w:rsid w:val="0BA539BB"/>
    <w:rsid w:val="0BA93258"/>
    <w:rsid w:val="0D3856F3"/>
    <w:rsid w:val="0D817B82"/>
    <w:rsid w:val="0DC254EA"/>
    <w:rsid w:val="0DF04D08"/>
    <w:rsid w:val="0E06452B"/>
    <w:rsid w:val="0E5E1C72"/>
    <w:rsid w:val="0E7532E3"/>
    <w:rsid w:val="0E946FD3"/>
    <w:rsid w:val="0F7D081D"/>
    <w:rsid w:val="0F830C23"/>
    <w:rsid w:val="102130A2"/>
    <w:rsid w:val="102173FB"/>
    <w:rsid w:val="10AD1E32"/>
    <w:rsid w:val="11DB182B"/>
    <w:rsid w:val="123024EE"/>
    <w:rsid w:val="12704318"/>
    <w:rsid w:val="13F21475"/>
    <w:rsid w:val="140B289C"/>
    <w:rsid w:val="14292D22"/>
    <w:rsid w:val="151C5828"/>
    <w:rsid w:val="15B64A89"/>
    <w:rsid w:val="164A7C92"/>
    <w:rsid w:val="16716FCB"/>
    <w:rsid w:val="16E117E3"/>
    <w:rsid w:val="17E7717C"/>
    <w:rsid w:val="1AB01AA7"/>
    <w:rsid w:val="1B6F581D"/>
    <w:rsid w:val="1BE9665B"/>
    <w:rsid w:val="1C9B653F"/>
    <w:rsid w:val="1D8666D1"/>
    <w:rsid w:val="1E82375A"/>
    <w:rsid w:val="1EF07C0F"/>
    <w:rsid w:val="1F9A2D26"/>
    <w:rsid w:val="1FA77B14"/>
    <w:rsid w:val="1FC46170"/>
    <w:rsid w:val="205A2F21"/>
    <w:rsid w:val="20EC1E85"/>
    <w:rsid w:val="210A7A37"/>
    <w:rsid w:val="21246E13"/>
    <w:rsid w:val="21493791"/>
    <w:rsid w:val="218617B3"/>
    <w:rsid w:val="22AA7723"/>
    <w:rsid w:val="22DF2E6C"/>
    <w:rsid w:val="23993E95"/>
    <w:rsid w:val="24284DA4"/>
    <w:rsid w:val="25096487"/>
    <w:rsid w:val="25EC4968"/>
    <w:rsid w:val="26356FD8"/>
    <w:rsid w:val="266A1BD3"/>
    <w:rsid w:val="26CD39E1"/>
    <w:rsid w:val="271909D4"/>
    <w:rsid w:val="27987D44"/>
    <w:rsid w:val="281E2DA6"/>
    <w:rsid w:val="294D333A"/>
    <w:rsid w:val="2A5F2B4C"/>
    <w:rsid w:val="2ACA0F27"/>
    <w:rsid w:val="2B5135F2"/>
    <w:rsid w:val="2B8F74B6"/>
    <w:rsid w:val="2C90750B"/>
    <w:rsid w:val="2D314EA3"/>
    <w:rsid w:val="2D404F0C"/>
    <w:rsid w:val="2E1D61B9"/>
    <w:rsid w:val="2E7E2FE0"/>
    <w:rsid w:val="302337C0"/>
    <w:rsid w:val="306C7DC6"/>
    <w:rsid w:val="30DC13F0"/>
    <w:rsid w:val="3183517E"/>
    <w:rsid w:val="31AF5028"/>
    <w:rsid w:val="320076A1"/>
    <w:rsid w:val="33195511"/>
    <w:rsid w:val="33632274"/>
    <w:rsid w:val="33F8511C"/>
    <w:rsid w:val="34FB38C5"/>
    <w:rsid w:val="355E62D7"/>
    <w:rsid w:val="35CD7920"/>
    <w:rsid w:val="366370C2"/>
    <w:rsid w:val="37614EEA"/>
    <w:rsid w:val="37EC5DE0"/>
    <w:rsid w:val="37F2590A"/>
    <w:rsid w:val="38587FCC"/>
    <w:rsid w:val="38CD309F"/>
    <w:rsid w:val="39743AD8"/>
    <w:rsid w:val="3AFB5CD8"/>
    <w:rsid w:val="3B406DC8"/>
    <w:rsid w:val="3C184ED4"/>
    <w:rsid w:val="3C6202EB"/>
    <w:rsid w:val="3D562DD0"/>
    <w:rsid w:val="3E9618DC"/>
    <w:rsid w:val="3EED47C8"/>
    <w:rsid w:val="404421EA"/>
    <w:rsid w:val="40EA7F2B"/>
    <w:rsid w:val="4293532C"/>
    <w:rsid w:val="43503541"/>
    <w:rsid w:val="43BF144D"/>
    <w:rsid w:val="448412FD"/>
    <w:rsid w:val="44DE4A39"/>
    <w:rsid w:val="45DF1CDB"/>
    <w:rsid w:val="46B5206F"/>
    <w:rsid w:val="47091CC0"/>
    <w:rsid w:val="47524C24"/>
    <w:rsid w:val="48182092"/>
    <w:rsid w:val="48895562"/>
    <w:rsid w:val="4A22043C"/>
    <w:rsid w:val="4A757FAF"/>
    <w:rsid w:val="4B17661E"/>
    <w:rsid w:val="4FD249E8"/>
    <w:rsid w:val="51180B8E"/>
    <w:rsid w:val="5153670D"/>
    <w:rsid w:val="518C60C3"/>
    <w:rsid w:val="51F7167C"/>
    <w:rsid w:val="529369ED"/>
    <w:rsid w:val="529C0587"/>
    <w:rsid w:val="529E1C09"/>
    <w:rsid w:val="54B26758"/>
    <w:rsid w:val="54E356E6"/>
    <w:rsid w:val="552462D6"/>
    <w:rsid w:val="56AF0889"/>
    <w:rsid w:val="571D5651"/>
    <w:rsid w:val="579C610F"/>
    <w:rsid w:val="581F1A3E"/>
    <w:rsid w:val="583A5BA9"/>
    <w:rsid w:val="5B3023DD"/>
    <w:rsid w:val="5B8F0C89"/>
    <w:rsid w:val="5BFB631F"/>
    <w:rsid w:val="5D1A1015"/>
    <w:rsid w:val="5DA82C66"/>
    <w:rsid w:val="5DFB0858"/>
    <w:rsid w:val="61CB0541"/>
    <w:rsid w:val="642F125B"/>
    <w:rsid w:val="648D138E"/>
    <w:rsid w:val="65B678B9"/>
    <w:rsid w:val="667C4500"/>
    <w:rsid w:val="674548F2"/>
    <w:rsid w:val="67796553"/>
    <w:rsid w:val="67A0001E"/>
    <w:rsid w:val="68AF3EFF"/>
    <w:rsid w:val="694C640B"/>
    <w:rsid w:val="695E4137"/>
    <w:rsid w:val="6A1B7452"/>
    <w:rsid w:val="6A334ED5"/>
    <w:rsid w:val="6A70450C"/>
    <w:rsid w:val="6CDA75E2"/>
    <w:rsid w:val="6D675D52"/>
    <w:rsid w:val="6DD8026E"/>
    <w:rsid w:val="6E851A78"/>
    <w:rsid w:val="6E8C1058"/>
    <w:rsid w:val="6EE47824"/>
    <w:rsid w:val="6EF72978"/>
    <w:rsid w:val="709B7A4C"/>
    <w:rsid w:val="711F61B4"/>
    <w:rsid w:val="763019EC"/>
    <w:rsid w:val="768016A7"/>
    <w:rsid w:val="77433E51"/>
    <w:rsid w:val="77864EB3"/>
    <w:rsid w:val="78FF4322"/>
    <w:rsid w:val="79CB5B01"/>
    <w:rsid w:val="7B0A662F"/>
    <w:rsid w:val="7B9B0B2D"/>
    <w:rsid w:val="7BAE6AB2"/>
    <w:rsid w:val="7BC61717"/>
    <w:rsid w:val="7BE73D72"/>
    <w:rsid w:val="7C477922"/>
    <w:rsid w:val="7C6C4967"/>
    <w:rsid w:val="7CDC5D70"/>
    <w:rsid w:val="7CEE0874"/>
    <w:rsid w:val="7D312925"/>
    <w:rsid w:val="7D9A1855"/>
    <w:rsid w:val="7DAE6CBA"/>
    <w:rsid w:val="7E941F8F"/>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1"/>
    <w:pPr>
      <w:widowControl w:val="0"/>
      <w:autoSpaceDE w:val="0"/>
      <w:autoSpaceDN w:val="0"/>
      <w:spacing w:line="440" w:lineRule="exact"/>
    </w:pPr>
    <w:rPr>
      <w:rFonts w:ascii="宋体" w:hAnsi="宋体" w:eastAsia="宋体" w:cs="宋体"/>
      <w:sz w:val="24"/>
      <w:szCs w:val="24"/>
      <w:lang w:val="en-US" w:eastAsia="zh-CN" w:bidi="ar-SA"/>
    </w:rPr>
  </w:style>
  <w:style w:type="paragraph" w:styleId="2">
    <w:name w:val="heading 1"/>
    <w:basedOn w:val="1"/>
    <w:autoRedefine/>
    <w:qFormat/>
    <w:uiPriority w:val="1"/>
    <w:pPr>
      <w:spacing w:before="62"/>
      <w:jc w:val="center"/>
      <w:outlineLvl w:val="0"/>
    </w:pPr>
    <w:rPr>
      <w:b/>
      <w:bCs/>
      <w:sz w:val="28"/>
      <w:szCs w:val="28"/>
    </w:rPr>
  </w:style>
  <w:style w:type="paragraph" w:styleId="3">
    <w:name w:val="heading 2"/>
    <w:basedOn w:val="1"/>
    <w:autoRedefine/>
    <w:qFormat/>
    <w:uiPriority w:val="1"/>
    <w:pPr>
      <w:spacing w:before="150"/>
      <w:ind w:left="369" w:right="282" w:firstLine="434"/>
      <w:outlineLvl w:val="1"/>
    </w:pPr>
    <w:rPr>
      <w:b/>
      <w:bCs/>
      <w:i/>
      <w:sz w:val="25"/>
      <w:szCs w:val="25"/>
    </w:rPr>
  </w:style>
  <w:style w:type="paragraph" w:styleId="4">
    <w:name w:val="heading 3"/>
    <w:basedOn w:val="1"/>
    <w:autoRedefine/>
    <w:qFormat/>
    <w:uiPriority w:val="1"/>
    <w:pPr>
      <w:spacing w:before="150"/>
      <w:ind w:left="1788" w:right="1735"/>
      <w:jc w:val="center"/>
      <w:outlineLvl w:val="2"/>
    </w:pPr>
    <w:rPr>
      <w:i/>
      <w:sz w:val="25"/>
      <w:szCs w:val="25"/>
    </w:rPr>
  </w:style>
  <w:style w:type="paragraph" w:styleId="5">
    <w:name w:val="heading 4"/>
    <w:basedOn w:val="1"/>
    <w:autoRedefine/>
    <w:qFormat/>
    <w:uiPriority w:val="1"/>
    <w:pPr>
      <w:numPr>
        <w:ilvl w:val="1"/>
        <w:numId w:val="1"/>
      </w:numPr>
      <w:spacing w:line="560" w:lineRule="exact"/>
      <w:outlineLvl w:val="3"/>
    </w:pPr>
    <w:rPr>
      <w:b/>
      <w:bCs/>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link w:val="26"/>
    <w:autoRedefine/>
    <w:qFormat/>
    <w:uiPriority w:val="0"/>
  </w:style>
  <w:style w:type="paragraph" w:styleId="7">
    <w:name w:val="Body Text"/>
    <w:basedOn w:val="1"/>
    <w:link w:val="19"/>
    <w:autoRedefine/>
    <w:qFormat/>
    <w:uiPriority w:val="1"/>
    <w:pPr>
      <w:tabs>
        <w:tab w:val="left" w:pos="4339"/>
        <w:tab w:val="left" w:pos="5419"/>
        <w:tab w:val="left" w:pos="6499"/>
      </w:tabs>
      <w:spacing w:line="560" w:lineRule="exact"/>
      <w:ind w:firstLine="480" w:firstLineChars="200"/>
    </w:p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toc 1"/>
    <w:basedOn w:val="1"/>
    <w:autoRedefine/>
    <w:qFormat/>
    <w:uiPriority w:val="1"/>
    <w:pPr>
      <w:spacing w:before="151"/>
      <w:ind w:left="600"/>
    </w:pPr>
    <w:rPr>
      <w:b/>
      <w:bCs/>
    </w:rPr>
  </w:style>
  <w:style w:type="paragraph" w:styleId="10">
    <w:name w:val="annotation subject"/>
    <w:basedOn w:val="6"/>
    <w:next w:val="6"/>
    <w:link w:val="27"/>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basedOn w:val="13"/>
    <w:autoRedefine/>
    <w:qFormat/>
    <w:uiPriority w:val="0"/>
    <w:rPr>
      <w:sz w:val="21"/>
      <w:szCs w:val="21"/>
    </w:rPr>
  </w:style>
  <w:style w:type="table" w:customStyle="1" w:styleId="15">
    <w:name w:val="Table Normal"/>
    <w:autoRedefine/>
    <w:semiHidden/>
    <w:unhideWhenUsed/>
    <w:qFormat/>
    <w:uiPriority w:val="2"/>
    <w:tblPr>
      <w:tblCellMar>
        <w:top w:w="0" w:type="dxa"/>
        <w:left w:w="0" w:type="dxa"/>
        <w:bottom w:w="0" w:type="dxa"/>
        <w:right w:w="0" w:type="dxa"/>
      </w:tblCellMar>
    </w:tblPr>
  </w:style>
  <w:style w:type="paragraph" w:styleId="16">
    <w:name w:val="List Paragraph"/>
    <w:basedOn w:val="1"/>
    <w:link w:val="23"/>
    <w:autoRedefine/>
    <w:qFormat/>
    <w:uiPriority w:val="1"/>
    <w:pPr>
      <w:numPr>
        <w:ilvl w:val="1"/>
        <w:numId w:val="2"/>
      </w:numPr>
      <w:tabs>
        <w:tab w:val="left" w:pos="1475"/>
      </w:tabs>
      <w:spacing w:line="560" w:lineRule="exact"/>
      <w:ind w:left="962"/>
      <w:jc w:val="both"/>
    </w:pPr>
    <w:rPr>
      <w:b/>
      <w:bCs/>
    </w:rPr>
  </w:style>
  <w:style w:type="paragraph" w:customStyle="1" w:styleId="17">
    <w:name w:val="Table Paragraph"/>
    <w:basedOn w:val="1"/>
    <w:autoRedefine/>
    <w:qFormat/>
    <w:uiPriority w:val="1"/>
  </w:style>
  <w:style w:type="paragraph" w:customStyle="1" w:styleId="18">
    <w:name w:val="第X部分"/>
    <w:basedOn w:val="1"/>
    <w:link w:val="21"/>
    <w:autoRedefine/>
    <w:qFormat/>
    <w:uiPriority w:val="1"/>
    <w:pPr>
      <w:numPr>
        <w:ilvl w:val="0"/>
        <w:numId w:val="3"/>
      </w:numPr>
      <w:jc w:val="center"/>
      <w:outlineLvl w:val="1"/>
    </w:pPr>
    <w:rPr>
      <w:b/>
      <w:bCs/>
      <w:sz w:val="28"/>
      <w:szCs w:val="28"/>
    </w:rPr>
  </w:style>
  <w:style w:type="character" w:customStyle="1" w:styleId="19">
    <w:name w:val="正文文本 字符"/>
    <w:basedOn w:val="13"/>
    <w:link w:val="7"/>
    <w:autoRedefine/>
    <w:qFormat/>
    <w:uiPriority w:val="1"/>
    <w:rPr>
      <w:rFonts w:ascii="宋体" w:hAnsi="宋体" w:eastAsia="宋体" w:cs="宋体"/>
      <w:sz w:val="24"/>
      <w:szCs w:val="24"/>
    </w:rPr>
  </w:style>
  <w:style w:type="paragraph" w:customStyle="1" w:styleId="20">
    <w:name w:val="1.1"/>
    <w:basedOn w:val="16"/>
    <w:link w:val="24"/>
    <w:autoRedefine/>
    <w:qFormat/>
    <w:uiPriority w:val="1"/>
    <w:pPr>
      <w:numPr>
        <w:numId w:val="3"/>
      </w:numPr>
      <w:tabs>
        <w:tab w:val="left" w:pos="0"/>
      </w:tabs>
      <w:ind w:left="0" w:firstLine="482" w:firstLineChars="200"/>
      <w:outlineLvl w:val="2"/>
    </w:pPr>
    <w:rPr>
      <w:bCs w:val="0"/>
    </w:rPr>
  </w:style>
  <w:style w:type="character" w:customStyle="1" w:styleId="21">
    <w:name w:val="第X部分 字符"/>
    <w:link w:val="18"/>
    <w:autoRedefine/>
    <w:qFormat/>
    <w:uiPriority w:val="1"/>
    <w:rPr>
      <w:rFonts w:ascii="宋体" w:hAnsi="宋体" w:eastAsia="宋体" w:cs="宋体"/>
      <w:b/>
      <w:bCs/>
      <w:sz w:val="28"/>
      <w:szCs w:val="28"/>
      <w:lang w:val="en-US" w:eastAsia="zh-CN" w:bidi="ar-SA"/>
    </w:rPr>
  </w:style>
  <w:style w:type="paragraph" w:customStyle="1" w:styleId="22">
    <w:name w:val="1.1.1"/>
    <w:basedOn w:val="16"/>
    <w:link w:val="25"/>
    <w:autoRedefine/>
    <w:qFormat/>
    <w:uiPriority w:val="1"/>
    <w:pPr>
      <w:numPr>
        <w:ilvl w:val="2"/>
        <w:numId w:val="3"/>
      </w:numPr>
      <w:spacing w:line="440" w:lineRule="exact"/>
      <w:ind w:left="0" w:firstLine="480" w:firstLineChars="200"/>
    </w:pPr>
    <w:rPr>
      <w:b w:val="0"/>
      <w:bCs w:val="0"/>
    </w:rPr>
  </w:style>
  <w:style w:type="character" w:customStyle="1" w:styleId="23">
    <w:name w:val="列表段落 字符"/>
    <w:basedOn w:val="13"/>
    <w:link w:val="16"/>
    <w:autoRedefine/>
    <w:qFormat/>
    <w:uiPriority w:val="1"/>
    <w:rPr>
      <w:rFonts w:ascii="宋体" w:hAnsi="宋体" w:eastAsia="宋体" w:cs="宋体"/>
      <w:b/>
      <w:bCs/>
      <w:sz w:val="24"/>
      <w:szCs w:val="24"/>
    </w:rPr>
  </w:style>
  <w:style w:type="character" w:customStyle="1" w:styleId="24">
    <w:name w:val="1.1 字符"/>
    <w:link w:val="20"/>
    <w:autoRedefine/>
    <w:qFormat/>
    <w:uiPriority w:val="1"/>
    <w:rPr>
      <w:rFonts w:ascii="宋体" w:hAnsi="宋体" w:eastAsia="宋体" w:cs="宋体"/>
      <w:b/>
      <w:sz w:val="24"/>
      <w:szCs w:val="24"/>
      <w:lang w:val="en-US" w:eastAsia="zh-CN" w:bidi="ar-SA"/>
    </w:rPr>
  </w:style>
  <w:style w:type="character" w:customStyle="1" w:styleId="25">
    <w:name w:val="1.1.1 字符"/>
    <w:link w:val="22"/>
    <w:autoRedefine/>
    <w:qFormat/>
    <w:uiPriority w:val="1"/>
    <w:rPr>
      <w:rFonts w:ascii="宋体" w:hAnsi="宋体" w:eastAsia="宋体" w:cs="宋体"/>
      <w:sz w:val="24"/>
      <w:szCs w:val="24"/>
      <w:lang w:val="en-US" w:eastAsia="zh-CN" w:bidi="ar-SA"/>
    </w:rPr>
  </w:style>
  <w:style w:type="character" w:customStyle="1" w:styleId="26">
    <w:name w:val="批注文字 字符"/>
    <w:basedOn w:val="13"/>
    <w:link w:val="6"/>
    <w:autoRedefine/>
    <w:qFormat/>
    <w:uiPriority w:val="0"/>
    <w:rPr>
      <w:rFonts w:ascii="宋体" w:hAnsi="宋体" w:eastAsia="宋体" w:cs="宋体"/>
      <w:sz w:val="24"/>
      <w:szCs w:val="24"/>
    </w:rPr>
  </w:style>
  <w:style w:type="character" w:customStyle="1" w:styleId="27">
    <w:name w:val="批注主题 字符"/>
    <w:basedOn w:val="26"/>
    <w:link w:val="10"/>
    <w:autoRedefine/>
    <w:qFormat/>
    <w:uiPriority w:val="0"/>
    <w:rPr>
      <w:rFonts w:ascii="宋体" w:hAnsi="宋体" w:eastAsia="宋体" w:cs="宋体"/>
      <w:b/>
      <w:bCs/>
      <w:sz w:val="24"/>
      <w:szCs w:val="24"/>
    </w:rPr>
  </w:style>
  <w:style w:type="character" w:customStyle="1" w:styleId="28">
    <w:name w:val="合同专用条款"/>
    <w:basedOn w:val="29"/>
    <w:autoRedefine/>
    <w:qFormat/>
    <w:uiPriority w:val="0"/>
    <w:rPr>
      <w:rFonts w:ascii="Calibri" w:hAnsi="Calibri" w:eastAsia="宋体"/>
      <w:b/>
      <w:bCs/>
      <w:i/>
      <w:iCs/>
      <w:u w:val="single"/>
    </w:rPr>
  </w:style>
  <w:style w:type="character" w:customStyle="1" w:styleId="29">
    <w:name w:val="正文字体（带下划线）"/>
    <w:basedOn w:val="13"/>
    <w:autoRedefine/>
    <w:qFormat/>
    <w:uiPriority w:val="0"/>
    <w:rPr>
      <w:rFonts w:hint="eastAsia"/>
      <w:u w:val="single"/>
      <w:lang w:eastAsia="zh-CN"/>
    </w:rPr>
  </w:style>
  <w:style w:type="paragraph" w:customStyle="1" w:styleId="30">
    <w:name w:val="无编号段落"/>
    <w:basedOn w:val="1"/>
    <w:autoRedefine/>
    <w:qFormat/>
    <w:uiPriority w:val="0"/>
    <w:pPr>
      <w:ind w:firstLine="480" w:firstLineChars="200"/>
    </w:pPr>
    <w:rPr>
      <w:rFonts w:cstheme="minorEastAsia"/>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688</Words>
  <Characters>3924</Characters>
  <Lines>1</Lines>
  <Paragraphs>1</Paragraphs>
  <TotalTime>24</TotalTime>
  <ScaleCrop>false</ScaleCrop>
  <LinksUpToDate>false</LinksUpToDate>
  <CharactersWithSpaces>4603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2024-04-09T00:44:00Z</dcterms:created>
  <dc:creator>Anakin</dc:creator>
  <cp:lastModifiedBy>沈超</cp:lastModifiedBy>
  <dcterms:modified xsi:type="dcterms:W3CDTF">2024-09-10T00:31:47Z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2024-04-02T00:00:00Z</vt:filetime>
  </property>
  <property fmtid="{D5CDD505-2E9C-101B-9397-08002B2CF9AE}" pid="3" name="Creator">
    <vt:lpwstr>WPS 文字</vt:lpwstr>
  </property>
  <property fmtid="{D5CDD505-2E9C-101B-9397-08002B2CF9AE}" pid="4" name="LastSaved">
    <vt:filetime>2024-04-09T00:00:00Z</vt:filetime>
  </property>
  <property fmtid="{D5CDD505-2E9C-101B-9397-08002B2CF9AE}" pid="5" name="KSOProductBuildVer">
    <vt:lpwstr>2052-12.1.0.16729</vt:lpwstr>
  </property>
  <property fmtid="{D5CDD505-2E9C-101B-9397-08002B2CF9AE}" pid="6" name="ICV">
    <vt:lpwstr>3747EA16200F4A1EA0C7B0A2EF47ABC7_13</vt:lpwstr>
  </property>
</Properties>
</file>