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2"/>
          <w:rFonts w:hint="eastAsia" w:ascii="宋体" w:hAnsi="宋体" w:eastAsia="宋体" w:cs="宋体"/>
          <w:sz w:val="52"/>
          <w:szCs w:val="52"/>
          <w:highlight w:val="none"/>
          <w:lang w:val="en-US"/>
        </w:rPr>
      </w:pPr>
      <w:r>
        <w:rPr>
          <w:rStyle w:val="22"/>
          <w:rFonts w:hint="eastAsia" w:ascii="宋体" w:hAnsi="宋体" w:eastAsia="宋体" w:cs="宋体"/>
          <w:sz w:val="44"/>
          <w:szCs w:val="44"/>
          <w:highlight w:val="none"/>
          <w:lang w:val="en-US" w:eastAsia="zh-CN"/>
        </w:rPr>
        <w:t>青年路板块城市更新项目-杨桂塘菜市场水土保持验收</w:t>
      </w:r>
    </w:p>
    <w:p>
      <w:pPr>
        <w:pStyle w:val="3"/>
        <w:spacing w:before="120" w:beforeLines="0" w:line="360" w:lineRule="auto"/>
        <w:ind w:firstLine="0"/>
        <w:rPr>
          <w:rStyle w:val="22"/>
          <w:rFonts w:hint="eastAsia" w:ascii="宋体" w:hAnsi="宋体" w:eastAsia="宋体" w:cs="宋体"/>
          <w:sz w:val="52"/>
          <w:szCs w:val="52"/>
          <w:highlight w:val="none"/>
          <w:lang w:val="en-US"/>
        </w:rPr>
      </w:pPr>
      <w:r>
        <w:rPr>
          <w:rStyle w:val="22"/>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2"/>
          <w:rFonts w:hint="eastAsia" w:ascii="宋体" w:hAnsi="宋体" w:eastAsia="宋体" w:cs="宋体"/>
          <w:sz w:val="52"/>
          <w:szCs w:val="52"/>
          <w:highlight w:val="none"/>
          <w:lang w:val="en-US"/>
        </w:rPr>
      </w:pPr>
      <w:bookmarkStart w:id="0" w:name="_Toc2457"/>
      <w:r>
        <w:rPr>
          <w:rStyle w:val="22"/>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2"/>
          <w:rFonts w:hint="eastAsia" w:ascii="宋体" w:hAnsi="宋体" w:eastAsia="宋体" w:cs="宋体"/>
          <w:sz w:val="52"/>
          <w:szCs w:val="52"/>
          <w:highlight w:val="none"/>
        </w:rPr>
      </w:pPr>
      <w:r>
        <w:rPr>
          <w:rStyle w:val="22"/>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2"/>
          <w:rFonts w:hint="eastAsia" w:ascii="宋体" w:hAnsi="宋体" w:eastAsia="宋体" w:cs="宋体"/>
          <w:sz w:val="52"/>
          <w:szCs w:val="52"/>
          <w:highlight w:val="none"/>
        </w:rPr>
      </w:pPr>
      <w:r>
        <w:rPr>
          <w:rStyle w:val="22"/>
          <w:rFonts w:hint="eastAsia" w:ascii="宋体" w:hAnsi="宋体" w:eastAsia="宋体" w:cs="宋体"/>
          <w:sz w:val="52"/>
          <w:szCs w:val="52"/>
          <w:highlight w:val="none"/>
        </w:rPr>
        <w:t>件</w:t>
      </w:r>
    </w:p>
    <w:p>
      <w:pPr>
        <w:rPr>
          <w:rStyle w:val="22"/>
          <w:rFonts w:hint="eastAsia" w:ascii="宋体" w:hAnsi="宋体" w:cs="宋体"/>
          <w:sz w:val="44"/>
          <w:szCs w:val="44"/>
          <w:highlight w:val="none"/>
        </w:rPr>
      </w:pPr>
    </w:p>
    <w:p>
      <w:pPr>
        <w:pStyle w:val="7"/>
        <w:rPr>
          <w:rStyle w:val="22"/>
          <w:rFonts w:hint="eastAsia" w:ascii="宋体" w:hAnsi="宋体" w:cs="宋体"/>
          <w:sz w:val="44"/>
          <w:szCs w:val="44"/>
          <w:highlight w:val="none"/>
        </w:rPr>
      </w:pPr>
    </w:p>
    <w:p>
      <w:pPr>
        <w:rPr>
          <w:rStyle w:val="22"/>
          <w:rFonts w:hint="eastAsia" w:ascii="宋体" w:hAnsi="宋体" w:cs="宋体"/>
          <w:sz w:val="44"/>
          <w:szCs w:val="44"/>
          <w:highlight w:val="none"/>
        </w:rPr>
      </w:pPr>
    </w:p>
    <w:p>
      <w:pPr>
        <w:pStyle w:val="17"/>
        <w:ind w:firstLine="880"/>
        <w:rPr>
          <w:rStyle w:val="22"/>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12</w:t>
      </w:r>
      <w:r>
        <w:rPr>
          <w:rFonts w:hint="eastAsia" w:ascii="黑体" w:hAnsi="宋体" w:eastAsia="黑体"/>
          <w:sz w:val="32"/>
          <w:szCs w:val="32"/>
          <w:highlight w:val="none"/>
        </w:rPr>
        <w:t>月</w:t>
      </w:r>
    </w:p>
    <w:p>
      <w:pPr>
        <w:pStyle w:val="17"/>
        <w:rPr>
          <w:rFonts w:hint="eastAsia" w:ascii="宋体" w:hAnsi="宋体"/>
          <w:sz w:val="32"/>
          <w:szCs w:val="32"/>
          <w:highlight w:val="none"/>
        </w:rPr>
      </w:pPr>
    </w:p>
    <w:p>
      <w:pPr>
        <w:pStyle w:val="14"/>
        <w:rPr>
          <w:rFonts w:hint="eastAsia"/>
        </w:rPr>
      </w:pPr>
    </w:p>
    <w:p>
      <w:pPr>
        <w:pStyle w:val="3"/>
        <w:spacing w:before="120" w:beforeLines="0" w:line="360" w:lineRule="auto"/>
        <w:ind w:left="0" w:leftChars="0" w:firstLine="0" w:firstLineChars="0"/>
        <w:jc w:val="both"/>
        <w:rPr>
          <w:rStyle w:val="23"/>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Style w:val="23"/>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3"/>
          <w:rFonts w:hint="eastAsia" w:ascii="宋体" w:hAnsi="宋体" w:eastAsia="宋体" w:cs="宋体"/>
          <w:b/>
          <w:bCs/>
          <w:sz w:val="30"/>
          <w:szCs w:val="30"/>
          <w:highlight w:val="none"/>
          <w:lang w:val="en-US" w:eastAsia="zh-CN"/>
        </w:rPr>
        <w:t>第一章</w:t>
      </w:r>
      <w:bookmarkEnd w:id="0"/>
      <w:r>
        <w:rPr>
          <w:rStyle w:val="23"/>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CN"/>
        </w:rPr>
        <w:t>青年路板块城市更新项目-杨桂塘菜市场水土保持验收</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青年路板块城市更新项目-杨桂塘菜市场水土保持验收项目</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肥西县上派镇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根据《中华人民共和国水土保持法》及《青年路板块城市更新项目-杨桂塘菜市场水土保持方案审批准予行政许可决定书》（肥水审批函〔2023〕110号）的要求，青年路板块城市更新项目-杨桂塘菜市场需进行水土保持验收工作</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 xml:space="preserve">招标范围：包括但不限于水土保持验收等工作 </w:t>
      </w:r>
    </w:p>
    <w:p>
      <w:pPr>
        <w:numPr>
          <w:ilvl w:val="0"/>
          <w:numId w:val="0"/>
        </w:numPr>
        <w:autoSpaceDE w:val="0"/>
        <w:autoSpaceDN w:val="0"/>
        <w:adjustRightInd w:val="0"/>
        <w:spacing w:line="360" w:lineRule="auto"/>
        <w:ind w:firstLine="480" w:firstLineChars="200"/>
        <w:jc w:val="left"/>
        <w:rPr>
          <w:rFonts w:hint="default"/>
          <w:highlight w:val="none"/>
          <w:lang w:val="en-US" w:eastAsia="zh-CN"/>
        </w:rPr>
      </w:pPr>
      <w:r>
        <w:rPr>
          <w:rFonts w:hint="eastAsia" w:ascii="宋体" w:hAnsi="宋体" w:cs="宋体"/>
          <w:sz w:val="24"/>
          <w:szCs w:val="24"/>
          <w:highlight w:val="none"/>
          <w:lang w:val="en-US" w:eastAsia="zh-CN"/>
        </w:rPr>
        <w:t>工期：项目总工期为30天</w:t>
      </w:r>
      <w:r>
        <w:rPr>
          <w:rFonts w:hint="eastAsia" w:ascii="宋体" w:hAnsi="宋体" w:eastAsia="宋体" w:cs="宋体"/>
          <w:sz w:val="24"/>
          <w:szCs w:val="24"/>
          <w:highlight w:val="none"/>
          <w:lang w:val="en-US" w:eastAsia="zh-CN"/>
        </w:rPr>
        <w:t>。</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lang w:val="en-US"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6.9万元（各单位报价不得超过本预算）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w:t>
      </w:r>
      <w:r>
        <w:rPr>
          <w:rFonts w:hint="eastAsia" w:ascii="宋体" w:hAnsi="宋体" w:cs="宋体"/>
          <w:sz w:val="24"/>
          <w:szCs w:val="24"/>
          <w:highlight w:val="none"/>
          <w:lang w:val="en-US" w:eastAsia="zh-CN"/>
        </w:rPr>
        <w:t>要求</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营业执照经营范围含水土流失防治服务；</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17"/>
        <w:ind w:firstLine="480"/>
        <w:rPr>
          <w:rFonts w:hint="eastAsia" w:ascii="宋体" w:hAnsi="宋体" w:eastAsia="宋体" w:cs="宋体"/>
          <w:bCs/>
          <w:sz w:val="24"/>
          <w:szCs w:val="24"/>
          <w:highlight w:val="none"/>
        </w:rPr>
      </w:pPr>
    </w:p>
    <w:p>
      <w:pPr>
        <w:pStyle w:val="17"/>
        <w:ind w:firstLine="480"/>
        <w:rPr>
          <w:rFonts w:hint="eastAsia" w:ascii="宋体" w:hAnsi="宋体" w:eastAsia="宋体" w:cs="宋体"/>
          <w:bCs/>
          <w:sz w:val="24"/>
          <w:szCs w:val="24"/>
          <w:highlight w:val="none"/>
        </w:rPr>
      </w:pPr>
    </w:p>
    <w:p>
      <w:pPr>
        <w:pStyle w:val="17"/>
        <w:ind w:firstLine="480"/>
        <w:rPr>
          <w:rFonts w:hint="eastAsia" w:ascii="宋体" w:hAnsi="宋体" w:eastAsia="宋体" w:cs="宋体"/>
          <w:bCs/>
          <w:sz w:val="24"/>
          <w:szCs w:val="24"/>
          <w:highlight w:val="none"/>
        </w:rPr>
      </w:pPr>
    </w:p>
    <w:p>
      <w:pPr>
        <w:pStyle w:val="17"/>
        <w:ind w:firstLine="480"/>
        <w:rPr>
          <w:rFonts w:hint="eastAsia" w:ascii="宋体" w:hAnsi="宋体" w:eastAsia="宋体" w:cs="宋体"/>
          <w:bCs/>
          <w:sz w:val="24"/>
          <w:szCs w:val="24"/>
          <w:highlight w:val="none"/>
        </w:rPr>
      </w:pPr>
    </w:p>
    <w:p>
      <w:pPr>
        <w:pStyle w:val="17"/>
        <w:ind w:firstLine="480"/>
        <w:rPr>
          <w:rFonts w:hint="eastAsia" w:ascii="宋体" w:hAnsi="宋体" w:eastAsia="宋体" w:cs="宋体"/>
          <w:bCs/>
          <w:sz w:val="24"/>
          <w:szCs w:val="24"/>
          <w:highlight w:val="none"/>
        </w:rPr>
      </w:pPr>
    </w:p>
    <w:p>
      <w:pPr>
        <w:pStyle w:val="17"/>
        <w:ind w:firstLine="480"/>
        <w:rPr>
          <w:rFonts w:hint="eastAsia" w:ascii="宋体" w:hAnsi="宋体" w:eastAsia="宋体" w:cs="宋体"/>
          <w:bCs/>
          <w:sz w:val="24"/>
          <w:szCs w:val="24"/>
          <w:highlight w:val="none"/>
        </w:rPr>
      </w:pPr>
    </w:p>
    <w:p>
      <w:pPr>
        <w:pStyle w:val="17"/>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rPr>
          <w:rFonts w:hint="eastAsia"/>
          <w:lang w:val="en-US" w:eastAsia="zh-CN"/>
        </w:rPr>
      </w:pPr>
      <w:bookmarkStart w:id="1" w:name="_Toc220232390"/>
      <w:bookmarkStart w:id="2" w:name="_Toc20903"/>
      <w:r>
        <w:rPr>
          <w:rFonts w:hint="eastAsia"/>
          <w:lang w:val="en-US" w:eastAsia="zh-CN"/>
        </w:rPr>
        <w:br w:type="page"/>
      </w:r>
    </w:p>
    <w:p>
      <w:pPr>
        <w:pStyle w:val="3"/>
        <w:pageBreakBefore w:val="0"/>
        <w:widowControl w:val="0"/>
        <w:kinsoku/>
        <w:wordWrap/>
        <w:overflowPunct/>
        <w:topLinePunct w:val="0"/>
        <w:bidi w:val="0"/>
        <w:spacing w:line="360" w:lineRule="auto"/>
        <w:ind w:firstLine="0"/>
        <w:jc w:val="both"/>
        <w:textAlignment w:val="auto"/>
        <w:rPr>
          <w:rStyle w:val="23"/>
          <w:rFonts w:hint="eastAsia" w:ascii="宋体" w:hAnsi="宋体" w:eastAsia="宋体" w:cs="宋体"/>
          <w:b/>
          <w:bCs/>
          <w:sz w:val="30"/>
          <w:szCs w:val="30"/>
          <w:highlight w:val="none"/>
          <w:lang w:val="en-US" w:eastAsia="zh-CN"/>
        </w:rPr>
      </w:pPr>
    </w:p>
    <w:p>
      <w:pPr>
        <w:pStyle w:val="3"/>
        <w:pageBreakBefore w:val="0"/>
        <w:widowControl w:val="0"/>
        <w:kinsoku/>
        <w:wordWrap/>
        <w:overflowPunct/>
        <w:topLinePunct w:val="0"/>
        <w:bidi w:val="0"/>
        <w:spacing w:line="360" w:lineRule="auto"/>
        <w:ind w:firstLine="0"/>
        <w:jc w:val="center"/>
        <w:textAlignment w:val="auto"/>
        <w:rPr>
          <w:rStyle w:val="23"/>
          <w:rFonts w:hint="eastAsia" w:ascii="宋体" w:hAnsi="宋体" w:eastAsia="宋体" w:cs="宋体"/>
          <w:b w:val="0"/>
          <w:bCs w:val="0"/>
          <w:sz w:val="28"/>
          <w:szCs w:val="28"/>
          <w:highlight w:val="none"/>
        </w:rPr>
      </w:pPr>
      <w:r>
        <w:rPr>
          <w:rStyle w:val="23"/>
          <w:rFonts w:hint="eastAsia" w:ascii="宋体" w:hAnsi="宋体" w:eastAsia="宋体" w:cs="宋体"/>
          <w:b/>
          <w:bCs/>
          <w:sz w:val="30"/>
          <w:szCs w:val="30"/>
          <w:highlight w:val="none"/>
          <w:lang w:val="en-US" w:eastAsia="zh-CN"/>
        </w:rPr>
        <w:t xml:space="preserve">第二章 </w:t>
      </w:r>
      <w:bookmarkEnd w:id="1"/>
      <w:r>
        <w:rPr>
          <w:rStyle w:val="23"/>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青年路板块城市更新项目-杨桂塘菜市场水土保持验收</w:t>
      </w:r>
      <w:r>
        <w:rPr>
          <w:rFonts w:hint="eastAsia" w:ascii="宋体" w:hAnsi="宋体" w:cs="宋体"/>
          <w:sz w:val="24"/>
          <w:szCs w:val="24"/>
          <w:highlight w:val="none"/>
          <w:lang w:val="en-US" w:eastAsia="zh-CN"/>
        </w:rPr>
        <w:t>，项目总工期为30天</w:t>
      </w:r>
      <w:r>
        <w:rPr>
          <w:rFonts w:hint="eastAsia" w:ascii="宋体" w:hAnsi="宋体" w:eastAsia="宋体" w:cs="宋体"/>
          <w:sz w:val="24"/>
          <w:szCs w:val="24"/>
          <w:highlight w:val="none"/>
          <w:lang w:val="en-US" w:eastAsia="zh-CN"/>
        </w:rPr>
        <w:t>。</w:t>
      </w:r>
    </w:p>
    <w:p>
      <w:pPr>
        <w:pageBreakBefore w:val="0"/>
        <w:widowControl w:val="0"/>
        <w:numPr>
          <w:ilvl w:val="0"/>
          <w:numId w:val="0"/>
        </w:numPr>
        <w:kinsoku/>
        <w:wordWrap/>
        <w:overflowPunct/>
        <w:topLinePunct w:val="0"/>
        <w:autoSpaceDE w:val="0"/>
        <w:autoSpaceDN w:val="0"/>
        <w:bidi w:val="0"/>
        <w:snapToGrid/>
        <w:spacing w:line="360" w:lineRule="auto"/>
        <w:ind w:firstLine="482" w:firstLineChars="200"/>
        <w:textAlignment w:val="auto"/>
        <w:rPr>
          <w:rFonts w:hint="default"/>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付款方式：待取得主管部门批复（回执）后15个工作日内付清。</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2"/>
          <w:rFonts w:hint="eastAsia" w:ascii="宋体" w:hAnsi="宋体" w:eastAsia="宋体"/>
          <w:b w:val="0"/>
          <w:i w:val="0"/>
          <w:caps w:val="0"/>
          <w:color w:val="000000"/>
          <w:spacing w:val="0"/>
          <w:w w:val="100"/>
          <w:kern w:val="0"/>
          <w:sz w:val="24"/>
          <w:szCs w:val="24"/>
          <w:highlight w:val="none"/>
          <w:lang w:val="en-US" w:eastAsia="zh-CN" w:bidi="ar-SA"/>
        </w:rPr>
      </w:pPr>
      <w:r>
        <w:rPr>
          <w:rStyle w:val="22"/>
          <w:rFonts w:hint="eastAsia" w:ascii="宋体" w:hAnsi="宋体" w:eastAsia="宋体"/>
          <w:b w:val="0"/>
          <w:i w:val="0"/>
          <w:caps w:val="0"/>
          <w:color w:val="000000"/>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本项目仅接受盖章的PDF版参审文件（可以利用软件加盖电子签章，参审单位的电子签章与其鲜章具有同等效力，参审文件内的签章为黑白则</w:t>
      </w:r>
      <w:r>
        <w:rPr>
          <w:rStyle w:val="22"/>
          <w:rFonts w:hint="eastAsia" w:ascii="宋体" w:hAnsi="宋体" w:eastAsia="宋体"/>
          <w:b/>
          <w:bCs w:val="0"/>
          <w:i w:val="0"/>
          <w:caps w:val="0"/>
          <w:color w:val="000000"/>
          <w:spacing w:val="0"/>
          <w:w w:val="100"/>
          <w:kern w:val="0"/>
          <w:sz w:val="24"/>
          <w:szCs w:val="24"/>
          <w:highlight w:val="none"/>
          <w:lang w:val="en-US" w:eastAsia="zh-CN" w:bidi="ar-SA"/>
        </w:rPr>
        <w:t>无效</w:t>
      </w:r>
      <w:r>
        <w:rPr>
          <w:rStyle w:val="22"/>
          <w:rFonts w:hint="eastAsia" w:ascii="宋体" w:hAnsi="宋体" w:eastAsia="宋体"/>
          <w:b w:val="0"/>
          <w:i w:val="0"/>
          <w:caps w:val="0"/>
          <w:color w:val="000000"/>
          <w:spacing w:val="0"/>
          <w:w w:val="100"/>
          <w:kern w:val="0"/>
          <w:sz w:val="24"/>
          <w:szCs w:val="24"/>
          <w:highlight w:val="none"/>
          <w:lang w:val="en-US" w:eastAsia="zh-CN" w:bidi="ar-SA"/>
        </w:rPr>
        <w:t>）须在规定时间前发送至邮箱：fxxshwlzcb@163.com，邮件名请用“</w:t>
      </w:r>
      <w:r>
        <w:rPr>
          <w:rStyle w:val="22"/>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2"/>
          <w:rFonts w:hint="eastAsia" w:ascii="宋体" w:hAnsi="宋体" w:eastAsia="宋体"/>
          <w:b w:val="0"/>
          <w:i w:val="0"/>
          <w:caps w:val="0"/>
          <w:color w:val="000000"/>
          <w:spacing w:val="0"/>
          <w:w w:val="100"/>
          <w:kern w:val="0"/>
          <w:sz w:val="24"/>
          <w:szCs w:val="24"/>
          <w:highlight w:val="none"/>
          <w:lang w:val="en-US" w:eastAsia="zh-CN" w:bidi="ar-SA"/>
        </w:rPr>
        <w:t>”来命名。参审文件的文件名请用“</w:t>
      </w:r>
      <w:r>
        <w:rPr>
          <w:rStyle w:val="22"/>
          <w:rFonts w:hint="eastAsia" w:ascii="宋体" w:hAnsi="宋体" w:eastAsia="宋体"/>
          <w:b/>
          <w:bCs w:val="0"/>
          <w:i w:val="0"/>
          <w:caps w:val="0"/>
          <w:color w:val="000000"/>
          <w:spacing w:val="0"/>
          <w:w w:val="100"/>
          <w:kern w:val="0"/>
          <w:sz w:val="24"/>
          <w:szCs w:val="24"/>
          <w:highlight w:val="none"/>
          <w:lang w:val="en-US" w:eastAsia="zh-CN" w:bidi="ar-SA"/>
        </w:rPr>
        <w:t>各参审单位的全</w:t>
      </w:r>
      <w:r>
        <w:rPr>
          <w:rStyle w:val="22"/>
          <w:rFonts w:hint="eastAsia" w:ascii="宋体" w:hAnsi="宋体" w:eastAsia="宋体"/>
          <w:b w:val="0"/>
          <w:i w:val="0"/>
          <w:caps w:val="0"/>
          <w:color w:val="000000"/>
          <w:spacing w:val="0"/>
          <w:w w:val="100"/>
          <w:kern w:val="0"/>
          <w:sz w:val="24"/>
          <w:szCs w:val="24"/>
          <w:highlight w:val="none"/>
          <w:lang w:val="en-US" w:eastAsia="zh-CN" w:bidi="ar-SA"/>
        </w:rPr>
        <w:t>称”来命名。如“安徽**有限公司”，则参审文件的文件名为“安徽**有限公司”。</w:t>
      </w:r>
    </w:p>
    <w:p>
      <w:pPr>
        <w:pStyle w:val="2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2"/>
          <w:rFonts w:hint="eastAsia" w:ascii="宋体" w:hAnsi="宋体" w:eastAsia="宋体"/>
          <w:b w:val="0"/>
          <w:i w:val="0"/>
          <w:caps w:val="0"/>
          <w:color w:val="000000"/>
          <w:spacing w:val="0"/>
          <w:w w:val="100"/>
          <w:kern w:val="0"/>
          <w:sz w:val="24"/>
          <w:szCs w:val="24"/>
          <w:highlight w:val="none"/>
          <w:lang w:val="en-US" w:eastAsia="zh-CN" w:bidi="ar-SA"/>
        </w:rPr>
      </w:pPr>
      <w:r>
        <w:rPr>
          <w:rStyle w:val="22"/>
          <w:rFonts w:hint="eastAsia" w:ascii="宋体" w:hAnsi="宋体" w:eastAsia="宋体"/>
          <w:b w:val="0"/>
          <w:i w:val="0"/>
          <w:caps w:val="0"/>
          <w:color w:val="000000"/>
          <w:spacing w:val="0"/>
          <w:w w:val="100"/>
          <w:kern w:val="0"/>
          <w:sz w:val="24"/>
          <w:szCs w:val="24"/>
          <w:highlight w:val="none"/>
          <w:lang w:val="en-US" w:eastAsia="zh-CN" w:bidi="ar-SA"/>
        </w:rPr>
        <w:t>提交时间：2023年12月</w:t>
      </w:r>
      <w:r>
        <w:rPr>
          <w:rStyle w:val="22"/>
          <w:rFonts w:hint="eastAsia" w:ascii="宋体" w:hAnsi="宋体"/>
          <w:b w:val="0"/>
          <w:i w:val="0"/>
          <w:caps w:val="0"/>
          <w:color w:val="000000"/>
          <w:spacing w:val="0"/>
          <w:w w:val="100"/>
          <w:kern w:val="0"/>
          <w:sz w:val="24"/>
          <w:szCs w:val="24"/>
          <w:highlight w:val="none"/>
          <w:lang w:val="en-US" w:eastAsia="zh-CN" w:bidi="ar-SA"/>
        </w:rPr>
        <w:t>12</w:t>
      </w:r>
      <w:r>
        <w:rPr>
          <w:rStyle w:val="22"/>
          <w:rFonts w:hint="eastAsia" w:ascii="宋体" w:hAnsi="宋体" w:eastAsia="宋体"/>
          <w:b w:val="0"/>
          <w:i w:val="0"/>
          <w:caps w:val="0"/>
          <w:color w:val="000000"/>
          <w:spacing w:val="0"/>
          <w:w w:val="100"/>
          <w:kern w:val="0"/>
          <w:sz w:val="24"/>
          <w:szCs w:val="24"/>
          <w:highlight w:val="none"/>
          <w:lang w:val="en-US" w:eastAsia="zh-CN" w:bidi="ar-SA"/>
        </w:rPr>
        <w:t>日-2023年12月1</w:t>
      </w:r>
      <w:r>
        <w:rPr>
          <w:rStyle w:val="22"/>
          <w:rFonts w:hint="eastAsia" w:ascii="宋体" w:hAnsi="宋体"/>
          <w:b w:val="0"/>
          <w:i w:val="0"/>
          <w:caps w:val="0"/>
          <w:color w:val="000000"/>
          <w:spacing w:val="0"/>
          <w:w w:val="100"/>
          <w:kern w:val="0"/>
          <w:sz w:val="24"/>
          <w:szCs w:val="24"/>
          <w:highlight w:val="none"/>
          <w:lang w:val="en-US" w:eastAsia="zh-CN" w:bidi="ar-SA"/>
        </w:rPr>
        <w:t>4</w:t>
      </w:r>
      <w:r>
        <w:rPr>
          <w:rStyle w:val="22"/>
          <w:rFonts w:hint="eastAsia" w:ascii="宋体" w:hAnsi="宋体" w:eastAsia="宋体"/>
          <w:b w:val="0"/>
          <w:i w:val="0"/>
          <w:caps w:val="0"/>
          <w:color w:val="000000"/>
          <w:spacing w:val="0"/>
          <w:w w:val="100"/>
          <w:kern w:val="0"/>
          <w:sz w:val="24"/>
          <w:szCs w:val="24"/>
          <w:highlight w:val="none"/>
          <w:lang w:val="en-US" w:eastAsia="zh-CN" w:bidi="ar-SA"/>
        </w:rPr>
        <w:t>日15:00。</w:t>
      </w:r>
      <w:r>
        <w:rPr>
          <w:rStyle w:val="22"/>
          <w:rFonts w:hint="eastAsia" w:ascii="宋体" w:hAnsi="宋体" w:eastAsia="宋体"/>
          <w:b/>
          <w:bCs w:val="0"/>
          <w:i w:val="0"/>
          <w:caps w:val="0"/>
          <w:color w:val="000000"/>
          <w:spacing w:val="0"/>
          <w:w w:val="100"/>
          <w:kern w:val="0"/>
          <w:sz w:val="24"/>
          <w:szCs w:val="24"/>
          <w:highlight w:val="none"/>
          <w:lang w:val="en-US" w:eastAsia="zh-CN" w:bidi="ar-SA"/>
        </w:rPr>
        <w:t>参审文件逾期发送或邮件名、文件名命名不合规范的不参与评审</w:t>
      </w:r>
      <w:r>
        <w:rPr>
          <w:rStyle w:val="22"/>
          <w:rFonts w:hint="eastAsia" w:ascii="宋体" w:hAnsi="宋体" w:eastAsia="宋体"/>
          <w:b w:val="0"/>
          <w:i w:val="0"/>
          <w:caps w:val="0"/>
          <w:color w:val="000000"/>
          <w:spacing w:val="0"/>
          <w:w w:val="100"/>
          <w:kern w:val="0"/>
          <w:sz w:val="24"/>
          <w:szCs w:val="24"/>
          <w:highlight w:val="none"/>
          <w:lang w:val="en-US" w:eastAsia="zh-CN" w:bidi="ar-SA"/>
        </w:rPr>
        <w:t>。</w:t>
      </w:r>
    </w:p>
    <w:p>
      <w:pPr>
        <w:rPr>
          <w:rStyle w:val="23"/>
          <w:rFonts w:hint="eastAsia" w:ascii="宋体" w:hAnsi="宋体" w:eastAsia="宋体" w:cs="宋体"/>
          <w:b/>
          <w:bCs/>
          <w:sz w:val="28"/>
          <w:szCs w:val="28"/>
          <w:highlight w:val="none"/>
          <w:lang w:val="en-US" w:eastAsia="zh-CN"/>
        </w:rPr>
      </w:pPr>
      <w:r>
        <w:rPr>
          <w:rStyle w:val="22"/>
          <w:rFonts w:hint="eastAsia" w:ascii="宋体" w:hAnsi="宋体"/>
          <w:b/>
          <w:bCs w:val="0"/>
          <w:i w:val="0"/>
          <w:caps w:val="0"/>
          <w:color w:val="auto"/>
          <w:spacing w:val="0"/>
          <w:w w:val="100"/>
          <w:kern w:val="0"/>
          <w:sz w:val="24"/>
          <w:szCs w:val="24"/>
          <w:highlight w:val="none"/>
          <w:u w:val="none"/>
          <w:lang w:val="en-US" w:eastAsia="zh-CN" w:bidi="ar-SA"/>
        </w:rPr>
        <w:br w:type="page"/>
      </w:r>
    </w:p>
    <w:p>
      <w:pPr>
        <w:pStyle w:val="3"/>
        <w:spacing w:line="500" w:lineRule="exact"/>
        <w:ind w:firstLine="0"/>
        <w:rPr>
          <w:rFonts w:hint="eastAsia" w:ascii="宋体" w:hAnsi="宋体" w:eastAsia="宋体" w:cs="宋体"/>
          <w:sz w:val="28"/>
          <w:szCs w:val="28"/>
          <w:highlight w:val="none"/>
        </w:rPr>
      </w:pPr>
      <w:r>
        <w:rPr>
          <w:rStyle w:val="23"/>
          <w:rFonts w:hint="eastAsia" w:ascii="宋体" w:hAnsi="宋体" w:eastAsia="宋体" w:cs="宋体"/>
          <w:b/>
          <w:bCs/>
          <w:sz w:val="28"/>
          <w:szCs w:val="28"/>
          <w:highlight w:val="none"/>
          <w:lang w:val="en-US" w:eastAsia="zh-CN"/>
        </w:rPr>
        <w:t>第三章 资审</w:t>
      </w:r>
      <w:bookmarkEnd w:id="3"/>
      <w:r>
        <w:rPr>
          <w:rStyle w:val="23"/>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本项目定价6.9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3" w:hRule="atLeast"/>
          <w:jc w:val="center"/>
        </w:trPr>
        <w:tc>
          <w:tcPr>
            <w:tcW w:w="9922" w:type="dxa"/>
            <w:gridSpan w:val="5"/>
            <w:noWrap w:val="0"/>
            <w:vAlign w:val="center"/>
          </w:tcPr>
          <w:p>
            <w:pPr>
              <w:pStyle w:val="24"/>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4"/>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8"/>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09"/>
        <w:gridCol w:w="735"/>
        <w:gridCol w:w="65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94"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5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69"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lang w:val="en-US" w:eastAsia="zh-CN"/>
              </w:rPr>
              <w:t>20</w:t>
            </w:r>
            <w:r>
              <w:rPr>
                <w:rFonts w:hint="eastAsia"/>
                <w:szCs w:val="21"/>
              </w:rPr>
              <w:t>分</w:t>
            </w:r>
          </w:p>
        </w:tc>
        <w:tc>
          <w:tcPr>
            <w:tcW w:w="3265" w:type="pct"/>
            <w:tcBorders>
              <w:top w:val="single" w:color="auto" w:sz="4" w:space="0"/>
              <w:left w:val="single" w:color="auto" w:sz="4" w:space="0"/>
              <w:bottom w:val="single" w:color="auto" w:sz="4" w:space="0"/>
              <w:right w:val="single" w:color="auto" w:sz="4" w:space="0"/>
            </w:tcBorders>
            <w:vAlign w:val="center"/>
          </w:tcPr>
          <w:p>
            <w:pPr>
              <w:rPr>
                <w:sz w:val="22"/>
                <w:szCs w:val="21"/>
              </w:rPr>
            </w:pPr>
            <w:r>
              <w:rPr>
                <w:rFonts w:hint="eastAsia"/>
                <w:sz w:val="22"/>
                <w:szCs w:val="21"/>
              </w:rPr>
              <w:t>自201</w:t>
            </w:r>
            <w:r>
              <w:rPr>
                <w:rFonts w:hint="eastAsia"/>
                <w:sz w:val="22"/>
                <w:szCs w:val="21"/>
                <w:lang w:val="en-US" w:eastAsia="zh-CN"/>
              </w:rPr>
              <w:t>8</w:t>
            </w:r>
            <w:r>
              <w:rPr>
                <w:rFonts w:hint="eastAsia"/>
                <w:sz w:val="22"/>
                <w:szCs w:val="21"/>
              </w:rPr>
              <w:t>年1月1日以来(以合同签订时间为准)</w:t>
            </w:r>
            <w:r>
              <w:rPr>
                <w:rFonts w:hint="eastAsia"/>
                <w:sz w:val="22"/>
                <w:szCs w:val="21"/>
                <w:lang w:eastAsia="zh-CN"/>
              </w:rPr>
              <w:t>，</w:t>
            </w:r>
            <w:r>
              <w:rPr>
                <w:rFonts w:hint="eastAsia"/>
                <w:sz w:val="22"/>
                <w:szCs w:val="21"/>
              </w:rPr>
              <w:t>投标人具有：水土保持</w:t>
            </w:r>
            <w:r>
              <w:rPr>
                <w:rFonts w:hint="eastAsia"/>
                <w:sz w:val="22"/>
                <w:szCs w:val="21"/>
                <w:lang w:val="en-US" w:eastAsia="zh-CN"/>
              </w:rPr>
              <w:t>验收</w:t>
            </w:r>
            <w:r>
              <w:rPr>
                <w:rFonts w:hint="eastAsia"/>
                <w:sz w:val="22"/>
                <w:szCs w:val="21"/>
              </w:rPr>
              <w:t>业绩的，每提供一个得</w:t>
            </w:r>
            <w:r>
              <w:rPr>
                <w:sz w:val="22"/>
                <w:szCs w:val="21"/>
              </w:rPr>
              <w:t>10</w:t>
            </w:r>
            <w:r>
              <w:rPr>
                <w:rFonts w:hint="eastAsia"/>
                <w:sz w:val="22"/>
                <w:szCs w:val="21"/>
              </w:rPr>
              <w:t>分，最多得</w:t>
            </w:r>
            <w:r>
              <w:rPr>
                <w:sz w:val="22"/>
                <w:szCs w:val="21"/>
              </w:rPr>
              <w:t>20</w:t>
            </w:r>
            <w:r>
              <w:rPr>
                <w:rFonts w:hint="eastAsia"/>
                <w:sz w:val="22"/>
                <w:szCs w:val="21"/>
              </w:rPr>
              <w:t>分。</w:t>
            </w:r>
          </w:p>
          <w:p>
            <w:pPr>
              <w:jc w:val="left"/>
              <w:textAlignment w:val="baseline"/>
              <w:rPr>
                <w:sz w:val="22"/>
                <w:szCs w:val="21"/>
                <w:highlight w:val="yellow"/>
              </w:rPr>
            </w:pPr>
            <w:r>
              <w:rPr>
                <w:rFonts w:hint="eastAsia" w:ascii="宋体" w:hAnsi="宋体"/>
                <w:sz w:val="22"/>
                <w:szCs w:val="22"/>
                <w:highlight w:val="none"/>
                <w:lang w:val="en-US" w:eastAsia="zh-CN"/>
              </w:rPr>
              <w:t>备注：</w:t>
            </w:r>
            <w:r>
              <w:rPr>
                <w:rFonts w:hint="eastAsia" w:hAnsi="宋体"/>
                <w:kern w:val="0"/>
                <w:sz w:val="22"/>
                <w:szCs w:val="22"/>
                <w:highlight w:val="none"/>
              </w:rPr>
              <w:t>（注：本项中涉及的项目指</w:t>
            </w:r>
            <w:bookmarkStart w:id="38" w:name="_GoBack"/>
            <w:bookmarkEnd w:id="38"/>
            <w:r>
              <w:rPr>
                <w:rFonts w:hint="eastAsia" w:hAnsi="宋体"/>
                <w:kern w:val="0"/>
                <w:sz w:val="22"/>
                <w:szCs w:val="22"/>
                <w:highlight w:val="none"/>
              </w:rPr>
              <w:t>201</w:t>
            </w:r>
            <w:r>
              <w:rPr>
                <w:rFonts w:hint="eastAsia" w:hAnsi="宋体"/>
                <w:kern w:val="0"/>
                <w:sz w:val="22"/>
                <w:szCs w:val="22"/>
                <w:highlight w:val="none"/>
                <w:lang w:val="en-US" w:eastAsia="zh-CN"/>
              </w:rPr>
              <w:t>8</w:t>
            </w:r>
            <w:r>
              <w:rPr>
                <w:rFonts w:hint="eastAsia" w:hAnsi="宋体"/>
                <w:kern w:val="0"/>
                <w:sz w:val="22"/>
                <w:szCs w:val="22"/>
                <w:highlight w:val="none"/>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26"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5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default" w:ascii="宋体" w:hAnsi="宋体" w:eastAsia="宋体"/>
                <w:bCs/>
                <w:szCs w:val="21"/>
                <w:lang w:val="en-US" w:eastAsia="zh-CN"/>
              </w:rPr>
            </w:pPr>
            <w:r>
              <w:rPr>
                <w:rFonts w:hint="eastAsia" w:ascii="宋体" w:hAnsi="宋体"/>
                <w:bCs/>
                <w:szCs w:val="21"/>
                <w:lang w:val="en-US" w:eastAsia="zh-CN"/>
              </w:rPr>
              <w:t>服务承诺</w:t>
            </w:r>
          </w:p>
        </w:tc>
        <w:tc>
          <w:tcPr>
            <w:tcW w:w="369"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lang w:val="en-US" w:eastAsia="zh-CN"/>
              </w:rPr>
              <w:t>10</w:t>
            </w:r>
            <w:r>
              <w:rPr>
                <w:rFonts w:hint="eastAsia" w:ascii="宋体" w:hAnsi="宋体"/>
                <w:szCs w:val="21"/>
              </w:rPr>
              <w:t>分</w:t>
            </w:r>
          </w:p>
        </w:tc>
        <w:tc>
          <w:tcPr>
            <w:tcW w:w="3265" w:type="pct"/>
            <w:tcBorders>
              <w:top w:val="single" w:color="auto" w:sz="4" w:space="0"/>
              <w:left w:val="single" w:color="auto" w:sz="4" w:space="0"/>
              <w:bottom w:val="single" w:color="auto" w:sz="4" w:space="0"/>
              <w:right w:val="single" w:color="auto" w:sz="4" w:space="0"/>
            </w:tcBorders>
            <w:vAlign w:val="center"/>
          </w:tcPr>
          <w:p>
            <w:r>
              <w:rPr>
                <w:rFonts w:hint="eastAsia"/>
              </w:rPr>
              <w:t>投标人承诺配备专人按照业主要求对水务等相关单位办理验收备案等手续，及时完成以上相关工作的</w:t>
            </w:r>
            <w:r>
              <w:rPr>
                <w:rFonts w:hint="eastAsia"/>
                <w:lang w:eastAsia="zh-CN"/>
              </w:rPr>
              <w:t>，</w:t>
            </w:r>
            <w:r>
              <w:rPr>
                <w:rFonts w:hint="eastAsia"/>
              </w:rPr>
              <w:t>有此承诺的，可得</w:t>
            </w:r>
            <w:r>
              <w:t>10</w:t>
            </w:r>
            <w:r>
              <w:rPr>
                <w:rFonts w:hint="eastAsia"/>
              </w:rPr>
              <w:t>分，没有承诺的不得分。</w:t>
            </w:r>
          </w:p>
          <w:p>
            <w:pPr>
              <w:widowControl/>
              <w:spacing w:line="360" w:lineRule="auto"/>
              <w:jc w:val="left"/>
              <w:rPr>
                <w:sz w:val="22"/>
                <w:szCs w:val="21"/>
                <w:highlight w:val="yellow"/>
              </w:rPr>
            </w:pPr>
            <w:r>
              <w:rPr>
                <w:rFonts w:hint="eastAsia"/>
                <w:b/>
                <w:bCs/>
              </w:rPr>
              <w:t>注：投标文件中须提供上述承诺函</w:t>
            </w:r>
            <w:r>
              <w:rPr>
                <w:rFonts w:hint="eastAsia"/>
                <w:b/>
                <w:bCs/>
                <w:lang w:eastAsia="zh-CN"/>
              </w:rPr>
              <w:t>（</w:t>
            </w:r>
            <w:r>
              <w:rPr>
                <w:rFonts w:hint="eastAsia"/>
                <w:b/>
                <w:bCs/>
                <w:lang w:val="en-US" w:eastAsia="zh-CN"/>
              </w:rPr>
              <w:t>格式自拟</w:t>
            </w:r>
            <w:r>
              <w:rPr>
                <w:rFonts w:hint="eastAsia"/>
                <w:b/>
                <w:bCs/>
                <w:lang w:eastAsia="zh-CN"/>
              </w:rPr>
              <w:t>）</w:t>
            </w:r>
            <w:r>
              <w:rPr>
                <w:rFonts w:hint="eastAsia"/>
                <w:b/>
                <w:bCs/>
              </w:rPr>
              <w:t>扫描件，承诺函须加盖投标人公章。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89" w:hRule="atLeast"/>
          <w:jc w:val="center"/>
        </w:trPr>
        <w:tc>
          <w:tcPr>
            <w:tcW w:w="707" w:type="pc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rFonts w:hint="eastAsia"/>
                <w:kern w:val="0"/>
                <w:szCs w:val="21"/>
                <w:lang w:val="en-US" w:eastAsia="zh-CN"/>
              </w:rPr>
              <w:t>30</w:t>
            </w:r>
            <w:r>
              <w:rPr>
                <w:rFonts w:hint="eastAsia"/>
                <w:kern w:val="0"/>
                <w:szCs w:val="21"/>
              </w:rPr>
              <w:t>分</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水土保持</w:t>
            </w:r>
            <w:r>
              <w:rPr>
                <w:rFonts w:hint="eastAsia"/>
                <w:lang w:eastAsia="zh-CN"/>
              </w:rPr>
              <w:t>验收</w:t>
            </w:r>
            <w:r>
              <w:rPr>
                <w:rFonts w:hint="eastAsia"/>
              </w:rPr>
              <w:t>方案工作</w:t>
            </w:r>
          </w:p>
        </w:tc>
        <w:tc>
          <w:tcPr>
            <w:tcW w:w="369"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hint="eastAsia" w:ascii="宋体" w:hAnsi="宋体"/>
                <w:szCs w:val="21"/>
                <w:lang w:val="en-US" w:eastAsia="zh-CN"/>
              </w:rPr>
              <w:t>30</w:t>
            </w:r>
            <w:r>
              <w:rPr>
                <w:rFonts w:hint="eastAsia" w:ascii="宋体" w:hAnsi="宋体"/>
                <w:szCs w:val="21"/>
              </w:rPr>
              <w:t>分</w:t>
            </w:r>
          </w:p>
        </w:tc>
        <w:tc>
          <w:tcPr>
            <w:tcW w:w="3265" w:type="pct"/>
            <w:tcBorders>
              <w:top w:val="single" w:color="auto" w:sz="4" w:space="0"/>
              <w:left w:val="single" w:color="auto" w:sz="4" w:space="0"/>
              <w:bottom w:val="single" w:color="auto" w:sz="4" w:space="0"/>
              <w:right w:val="single" w:color="auto" w:sz="4" w:space="0"/>
            </w:tcBorders>
            <w:vAlign w:val="center"/>
          </w:tcPr>
          <w:p>
            <w:pPr>
              <w:rPr>
                <w:sz w:val="22"/>
                <w:szCs w:val="21"/>
              </w:rPr>
            </w:pPr>
            <w:r>
              <w:rPr>
                <w:rFonts w:hint="eastAsia"/>
                <w:sz w:val="22"/>
                <w:szCs w:val="21"/>
              </w:rPr>
              <w:t>工作内容齐全，可操作性强，满足采购要求。</w:t>
            </w:r>
          </w:p>
          <w:p>
            <w:pPr>
              <w:widowControl/>
              <w:spacing w:line="360" w:lineRule="auto"/>
              <w:jc w:val="left"/>
              <w:rPr>
                <w:rFonts w:ascii="宋体" w:hAnsi="宋体" w:cs="宋体"/>
                <w:kern w:val="0"/>
                <w:sz w:val="22"/>
                <w:szCs w:val="22"/>
                <w:lang w:val="zh-CN" w:bidi="zh-CN"/>
              </w:rPr>
            </w:pPr>
            <w:r>
              <w:rPr>
                <w:rFonts w:hint="eastAsia"/>
                <w:b/>
                <w:bCs/>
                <w:sz w:val="22"/>
                <w:szCs w:val="21"/>
                <w:highlight w:val="none"/>
                <w:lang w:val="en-US" w:eastAsia="zh-CN"/>
              </w:rPr>
              <w:t>优秀</w:t>
            </w:r>
            <w:r>
              <w:rPr>
                <w:rFonts w:hint="eastAsia"/>
                <w:b/>
                <w:bCs/>
                <w:sz w:val="22"/>
                <w:szCs w:val="21"/>
              </w:rPr>
              <w:t>得</w:t>
            </w:r>
            <w:r>
              <w:rPr>
                <w:rFonts w:hint="eastAsia"/>
                <w:b/>
                <w:bCs/>
                <w:sz w:val="22"/>
                <w:szCs w:val="21"/>
                <w:lang w:val="en-US" w:eastAsia="zh-CN"/>
              </w:rPr>
              <w:t>20</w:t>
            </w:r>
            <w:r>
              <w:rPr>
                <w:rFonts w:hint="eastAsia"/>
                <w:b/>
                <w:bCs/>
                <w:sz w:val="22"/>
                <w:szCs w:val="21"/>
              </w:rPr>
              <w:t>≤F≤</w:t>
            </w:r>
            <w:r>
              <w:rPr>
                <w:rFonts w:hint="eastAsia"/>
                <w:b/>
                <w:bCs/>
                <w:sz w:val="22"/>
                <w:szCs w:val="21"/>
                <w:lang w:val="en-US" w:eastAsia="zh-CN"/>
              </w:rPr>
              <w:t>30</w:t>
            </w:r>
            <w:r>
              <w:rPr>
                <w:rFonts w:hint="eastAsia"/>
                <w:b/>
                <w:bCs/>
                <w:sz w:val="22"/>
                <w:szCs w:val="21"/>
              </w:rPr>
              <w:t>分；良好得</w:t>
            </w:r>
            <w:r>
              <w:rPr>
                <w:rFonts w:hint="eastAsia"/>
                <w:b/>
                <w:bCs/>
                <w:sz w:val="22"/>
                <w:szCs w:val="21"/>
                <w:lang w:val="en-US" w:eastAsia="zh-CN"/>
              </w:rPr>
              <w:t>10</w:t>
            </w:r>
            <w:r>
              <w:rPr>
                <w:rFonts w:hint="eastAsia"/>
                <w:b/>
                <w:bCs/>
                <w:sz w:val="22"/>
                <w:szCs w:val="21"/>
              </w:rPr>
              <w:t>≤F&lt;</w:t>
            </w:r>
            <w:r>
              <w:rPr>
                <w:rFonts w:hint="eastAsia"/>
                <w:b/>
                <w:bCs/>
                <w:sz w:val="22"/>
                <w:szCs w:val="21"/>
                <w:lang w:val="en-US" w:eastAsia="zh-CN"/>
              </w:rPr>
              <w:t>20</w:t>
            </w:r>
            <w:r>
              <w:rPr>
                <w:rFonts w:hint="eastAsia"/>
                <w:b/>
                <w:bCs/>
                <w:sz w:val="22"/>
                <w:szCs w:val="21"/>
              </w:rPr>
              <w:t>分；一般或基本满足的得1≤F&lt;</w:t>
            </w:r>
            <w:r>
              <w:rPr>
                <w:b/>
                <w:bCs/>
                <w:sz w:val="22"/>
                <w:szCs w:val="21"/>
              </w:rPr>
              <w:t>10</w:t>
            </w:r>
            <w:r>
              <w:rPr>
                <w:rFonts w:hint="eastAsia"/>
                <w:b/>
                <w:bCs/>
                <w:sz w:val="22"/>
                <w:szCs w:val="21"/>
              </w:rPr>
              <w:t>;没有或不合理的得0分。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adjustRightInd w:val="0"/>
        <w:snapToGrid w:val="0"/>
        <w:spacing w:line="360" w:lineRule="auto"/>
        <w:ind w:right="-10"/>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numPr>
          <w:ilvl w:val="0"/>
          <w:numId w:val="0"/>
        </w:numPr>
        <w:adjustRightInd w:val="0"/>
        <w:snapToGrid w:val="0"/>
        <w:spacing w:line="360" w:lineRule="auto"/>
        <w:ind w:right="-10" w:rightChars="0"/>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rPr>
          <w:rFonts w:hint="eastAsia" w:ascii="宋体" w:hAnsi="宋体" w:cs="宋体"/>
          <w:bCs/>
          <w:sz w:val="24"/>
          <w:szCs w:val="24"/>
          <w:highlight w:val="none"/>
        </w:rPr>
      </w:pPr>
      <w:r>
        <w:rPr>
          <w:rFonts w:hint="eastAsia" w:ascii="宋体" w:hAnsi="宋体" w:cs="宋体"/>
          <w:bCs/>
          <w:sz w:val="24"/>
          <w:szCs w:val="24"/>
          <w:highlight w:val="none"/>
        </w:rPr>
        <w:br w:type="page"/>
      </w:r>
    </w:p>
    <w:p>
      <w:pPr>
        <w:adjustRightInd w:val="0"/>
        <w:snapToGrid w:val="0"/>
        <w:spacing w:line="360" w:lineRule="auto"/>
        <w:ind w:right="-10"/>
        <w:rPr>
          <w:rFonts w:hint="eastAsia" w:ascii="宋体" w:hAnsi="宋体" w:cs="宋体"/>
          <w:bCs/>
          <w:sz w:val="24"/>
          <w:szCs w:val="24"/>
          <w:highlight w:val="none"/>
        </w:rPr>
      </w:pPr>
    </w:p>
    <w:p>
      <w:pPr>
        <w:adjustRightInd w:val="0"/>
        <w:snapToGrid w:val="0"/>
        <w:spacing w:line="360" w:lineRule="auto"/>
        <w:ind w:right="-10"/>
        <w:jc w:val="both"/>
        <w:rPr>
          <w:rFonts w:hint="eastAsia" w:ascii="宋体" w:hAnsi="宋体" w:eastAsia="宋体" w:cs="宋体"/>
          <w:sz w:val="28"/>
          <w:szCs w:val="28"/>
          <w:highlight w:val="none"/>
          <w:lang w:val="en-US" w:eastAsia="zh-CN"/>
        </w:rPr>
      </w:pPr>
    </w:p>
    <w:p>
      <w:pPr>
        <w:adjustRightInd w:val="0"/>
        <w:snapToGrid w:val="0"/>
        <w:spacing w:line="360" w:lineRule="auto"/>
        <w:ind w:right="-10" w:firstLine="490" w:firstLineChars="175"/>
        <w:jc w:val="center"/>
        <w:rPr>
          <w:rStyle w:val="23"/>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3"/>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3"/>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19045391"/>
      <w:bookmarkStart w:id="7" w:name="_Hlt509738521"/>
      <w:bookmarkStart w:id="8" w:name="_Hlt509738509"/>
    </w:p>
    <w:p>
      <w:pPr>
        <w:pStyle w:val="14"/>
        <w:rPr>
          <w:rFonts w:hint="eastAsia"/>
          <w:highlight w:val="none"/>
        </w:rPr>
      </w:pPr>
    </w:p>
    <w:p>
      <w:pPr>
        <w:jc w:val="center"/>
        <w:rPr>
          <w:rStyle w:val="22"/>
          <w:rFonts w:hint="eastAsia" w:ascii="宋体" w:hAnsi="宋体" w:cs="宋体"/>
          <w:sz w:val="44"/>
          <w:szCs w:val="44"/>
          <w:highlight w:val="none"/>
          <w:lang w:val="en-US" w:eastAsia="zh-CN"/>
        </w:rPr>
      </w:pPr>
      <w:r>
        <w:rPr>
          <w:rStyle w:val="22"/>
          <w:rFonts w:hint="eastAsia" w:ascii="宋体" w:hAnsi="宋体" w:cs="宋体"/>
          <w:sz w:val="44"/>
          <w:szCs w:val="44"/>
          <w:highlight w:val="none"/>
          <w:lang w:val="en-US" w:eastAsia="zh-CN"/>
        </w:rPr>
        <w:t>青年路板块城市更新项目-杨桂塘菜市场水土保持验收</w:t>
      </w:r>
    </w:p>
    <w:p>
      <w:pPr>
        <w:pStyle w:val="7"/>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7"/>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7"/>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6"/>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19045798"/>
      <w:bookmarkEnd w:id="9"/>
      <w:bookmarkStart w:id="10" w:name="_Hlt533408409"/>
      <w:bookmarkEnd w:id="10"/>
      <w:bookmarkStart w:id="11" w:name="_Hlt509716873"/>
      <w:bookmarkEnd w:id="11"/>
      <w:bookmarkStart w:id="12" w:name="_Hlt533409360"/>
      <w:bookmarkEnd w:id="12"/>
      <w:bookmarkStart w:id="13" w:name="_Hlt533408916"/>
      <w:bookmarkEnd w:id="13"/>
      <w:bookmarkStart w:id="14" w:name="_Toc13084"/>
      <w:bookmarkStart w:id="15" w:name="_Toc516969097"/>
      <w:bookmarkStart w:id="16" w:name="_Toc197934563"/>
      <w:r>
        <w:rPr>
          <w:rStyle w:val="25"/>
          <w:rFonts w:hint="eastAsia" w:ascii="宋体" w:hAnsi="宋体" w:eastAsia="宋体" w:cs="宋体"/>
          <w:b/>
          <w:bCs/>
          <w:sz w:val="28"/>
          <w:szCs w:val="28"/>
          <w:highlight w:val="none"/>
          <w:lang w:val="en-US" w:eastAsia="zh-CN"/>
        </w:rPr>
        <w:t>一．</w:t>
      </w:r>
      <w:r>
        <w:rPr>
          <w:rStyle w:val="25"/>
          <w:rFonts w:hint="eastAsia" w:hAnsi="宋体" w:eastAsia="宋体" w:cs="宋体"/>
          <w:b/>
          <w:bCs/>
          <w:sz w:val="28"/>
          <w:szCs w:val="28"/>
          <w:highlight w:val="none"/>
          <w:lang w:val="en-US" w:eastAsia="zh-CN"/>
        </w:rPr>
        <w:t>参审</w:t>
      </w:r>
      <w:r>
        <w:rPr>
          <w:rStyle w:val="25"/>
          <w:rFonts w:hint="eastAsia" w:ascii="宋体" w:hAnsi="宋体" w:eastAsia="宋体" w:cs="宋体"/>
          <w:b/>
          <w:bCs/>
          <w:sz w:val="28"/>
          <w:szCs w:val="28"/>
          <w:highlight w:val="none"/>
          <w:lang w:val="en-US" w:eastAsia="zh-CN"/>
        </w:rPr>
        <w:t>一览表</w:t>
      </w:r>
      <w:bookmarkEnd w:id="14"/>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cs="宋体"/>
                <w:bCs/>
                <w:sz w:val="28"/>
                <w:szCs w:val="28"/>
                <w:highlight w:val="none"/>
                <w:u w:val="single"/>
              </w:rPr>
            </w:pPr>
            <w:r>
              <w:rPr>
                <w:rStyle w:val="22"/>
                <w:rFonts w:hint="eastAsia" w:ascii="宋体" w:hAnsi="宋体" w:cs="宋体"/>
                <w:b w:val="0"/>
                <w:bCs w:val="0"/>
                <w:sz w:val="28"/>
                <w:szCs w:val="28"/>
                <w:highlight w:val="none"/>
                <w:lang w:val="en-US" w:eastAsia="zh-CN"/>
              </w:rPr>
              <w:t>青年路板块城市更新项目-杨桂塘菜市场水土保持验收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大写：</w:t>
            </w:r>
          </w:p>
          <w:p>
            <w:pPr>
              <w:spacing w:line="360" w:lineRule="auto"/>
              <w:rPr>
                <w:rFonts w:hint="default" w:ascii="宋体" w:hAnsi="宋体" w:cs="宋体"/>
                <w:sz w:val="28"/>
                <w:szCs w:val="28"/>
                <w:highlight w:val="none"/>
                <w:lang w:val="en-US" w:eastAsia="zh-CN"/>
              </w:rPr>
            </w:pPr>
            <w:r>
              <w:rPr>
                <w:rFonts w:hint="eastAsia" w:ascii="宋体" w:hAnsi="宋体" w:cs="宋体"/>
                <w:sz w:val="28"/>
                <w:szCs w:val="28"/>
                <w:highlight w:val="no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rPr>
          <w:rFonts w:hint="eastAsia" w:ascii="宋体" w:hAnsi="宋体" w:cs="宋体"/>
          <w:b/>
          <w:sz w:val="28"/>
          <w:szCs w:val="28"/>
          <w:highlight w:val="none"/>
        </w:rPr>
      </w:pPr>
    </w:p>
    <w:p>
      <w:pPr>
        <w:pStyle w:val="11"/>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4"/>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19990"/>
      <w:bookmarkStart w:id="19"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227"/>
      <w:bookmarkStart w:id="21" w:name="_Toc535241130"/>
      <w:bookmarkStart w:id="22" w:name="_Toc535241084"/>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6"/>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5"/>
          <w:rFonts w:hint="eastAsia" w:hAnsi="宋体" w:eastAsia="宋体" w:cs="宋体"/>
          <w:b/>
          <w:bCs/>
          <w:sz w:val="28"/>
          <w:szCs w:val="28"/>
          <w:highlight w:val="none"/>
          <w:lang w:val="en-US" w:eastAsia="zh-CN"/>
        </w:rPr>
      </w:pPr>
    </w:p>
    <w:p>
      <w:pPr>
        <w:rPr>
          <w:rStyle w:val="25"/>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5"/>
          <w:rFonts w:hint="eastAsia" w:hAnsi="宋体" w:eastAsia="宋体" w:cs="宋体"/>
          <w:b/>
          <w:bCs/>
          <w:sz w:val="28"/>
          <w:szCs w:val="28"/>
          <w:highlight w:val="none"/>
          <w:lang w:val="en-US" w:eastAsia="zh-CN"/>
        </w:rPr>
        <w:t>三</w:t>
      </w:r>
      <w:r>
        <w:rPr>
          <w:rStyle w:val="25"/>
          <w:rFonts w:hint="eastAsia" w:ascii="宋体" w:hAnsi="宋体" w:eastAsia="宋体" w:cs="宋体"/>
          <w:b/>
          <w:bCs/>
          <w:sz w:val="28"/>
          <w:szCs w:val="28"/>
          <w:highlight w:val="none"/>
          <w:lang w:val="en-US" w:eastAsia="zh-CN"/>
        </w:rPr>
        <w:t>．</w:t>
      </w:r>
      <w:r>
        <w:rPr>
          <w:rStyle w:val="25"/>
          <w:rFonts w:hint="eastAsia" w:hAnsi="宋体" w:eastAsia="宋体" w:cs="宋体"/>
          <w:b/>
          <w:bCs/>
          <w:sz w:val="28"/>
          <w:szCs w:val="28"/>
          <w:highlight w:val="none"/>
          <w:lang w:val="en-US" w:eastAsia="zh-CN"/>
        </w:rPr>
        <w:t>承诺</w:t>
      </w:r>
      <w:r>
        <w:rPr>
          <w:rStyle w:val="25"/>
          <w:rFonts w:hint="eastAsia" w:ascii="宋体" w:hAnsi="宋体" w:eastAsia="宋体" w:cs="宋体"/>
          <w:b/>
          <w:bCs/>
          <w:sz w:val="28"/>
          <w:szCs w:val="28"/>
          <w:highlight w:val="none"/>
          <w:lang w:val="en-US" w:eastAsia="zh-CN"/>
        </w:rPr>
        <w:t>函</w:t>
      </w:r>
      <w:bookmarkEnd w:id="18"/>
      <w:bookmarkEnd w:id="19"/>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青年路板块城市更新项目-杨桂塘菜市场水土保持验收</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4"/>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5"/>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7"/>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5"/>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500337343"/>
      <w:bookmarkStart w:id="29" w:name="_Toc19826"/>
      <w:r>
        <w:rPr>
          <w:rFonts w:hint="eastAsia" w:hAnsi="宋体" w:cs="宋体"/>
          <w:sz w:val="28"/>
          <w:szCs w:val="28"/>
          <w:highlight w:val="none"/>
          <w:lang w:val="en-US" w:eastAsia="zh-CN"/>
        </w:rPr>
        <w:t>五</w:t>
      </w:r>
      <w:r>
        <w:rPr>
          <w:rStyle w:val="25"/>
          <w:rFonts w:hint="eastAsia" w:ascii="宋体" w:hAnsi="宋体" w:eastAsia="宋体" w:cs="宋体"/>
          <w:b/>
          <w:bCs/>
          <w:sz w:val="28"/>
          <w:szCs w:val="28"/>
          <w:highlight w:val="none"/>
          <w:lang w:val="en-US" w:eastAsia="zh-CN"/>
        </w:rPr>
        <w:t>．</w:t>
      </w:r>
      <w:bookmarkEnd w:id="28"/>
      <w:bookmarkEnd w:id="29"/>
      <w:bookmarkStart w:id="30" w:name="_Toc26965"/>
      <w:bookmarkStart w:id="31" w:name="_Toc516969105"/>
      <w:bookmarkStart w:id="32" w:name="_Toc220232402"/>
      <w:r>
        <w:rPr>
          <w:rStyle w:val="25"/>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500337346"/>
      <w:bookmarkStart w:id="36" w:name="_Toc17338"/>
      <w:bookmarkStart w:id="37"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4BE14C0"/>
    <w:rsid w:val="07EE1C3A"/>
    <w:rsid w:val="081952B3"/>
    <w:rsid w:val="08922100"/>
    <w:rsid w:val="099F10DB"/>
    <w:rsid w:val="0BA23811"/>
    <w:rsid w:val="0DB54600"/>
    <w:rsid w:val="0E033F7A"/>
    <w:rsid w:val="0E4775D9"/>
    <w:rsid w:val="0EE91E83"/>
    <w:rsid w:val="0EFE1116"/>
    <w:rsid w:val="0F725021"/>
    <w:rsid w:val="135056C8"/>
    <w:rsid w:val="13C47160"/>
    <w:rsid w:val="140C4DDD"/>
    <w:rsid w:val="158F4327"/>
    <w:rsid w:val="175054C9"/>
    <w:rsid w:val="182C1032"/>
    <w:rsid w:val="19567783"/>
    <w:rsid w:val="1B841D1D"/>
    <w:rsid w:val="1BF22A8E"/>
    <w:rsid w:val="1CDD28FB"/>
    <w:rsid w:val="23A62190"/>
    <w:rsid w:val="23E028CC"/>
    <w:rsid w:val="24DA77F4"/>
    <w:rsid w:val="26356BAE"/>
    <w:rsid w:val="290D27BA"/>
    <w:rsid w:val="292559B5"/>
    <w:rsid w:val="2D3A48A4"/>
    <w:rsid w:val="2E0E0B66"/>
    <w:rsid w:val="30DE4562"/>
    <w:rsid w:val="312C6806"/>
    <w:rsid w:val="343F2DFD"/>
    <w:rsid w:val="39AB1468"/>
    <w:rsid w:val="3A587E8F"/>
    <w:rsid w:val="3B5A3BC4"/>
    <w:rsid w:val="3C0E6EC2"/>
    <w:rsid w:val="3C72614E"/>
    <w:rsid w:val="3E1901BE"/>
    <w:rsid w:val="3EF96B18"/>
    <w:rsid w:val="4374368A"/>
    <w:rsid w:val="44823FC0"/>
    <w:rsid w:val="46A60C41"/>
    <w:rsid w:val="47C040BF"/>
    <w:rsid w:val="48044450"/>
    <w:rsid w:val="48536283"/>
    <w:rsid w:val="48811DCD"/>
    <w:rsid w:val="4A2000F0"/>
    <w:rsid w:val="4A7D1684"/>
    <w:rsid w:val="4DD50B0D"/>
    <w:rsid w:val="4EB85956"/>
    <w:rsid w:val="4F1C0F49"/>
    <w:rsid w:val="54A70F6B"/>
    <w:rsid w:val="567F608E"/>
    <w:rsid w:val="57D87E20"/>
    <w:rsid w:val="5BCE431A"/>
    <w:rsid w:val="5C0629E9"/>
    <w:rsid w:val="5CFE5FDA"/>
    <w:rsid w:val="60130F45"/>
    <w:rsid w:val="60A14592"/>
    <w:rsid w:val="64A5505E"/>
    <w:rsid w:val="6597619F"/>
    <w:rsid w:val="6608232F"/>
    <w:rsid w:val="66EF67B7"/>
    <w:rsid w:val="68816AA3"/>
    <w:rsid w:val="6C727408"/>
    <w:rsid w:val="6C8D2FC3"/>
    <w:rsid w:val="6D147674"/>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3"/>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5"/>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Normal (Web)"/>
    <w:basedOn w:val="1"/>
    <w:uiPriority w:val="0"/>
    <w:pPr>
      <w:spacing w:before="0" w:beforeAutospacing="1" w:after="0" w:afterAutospacing="1"/>
      <w:ind w:left="0" w:right="0"/>
      <w:jc w:val="left"/>
    </w:pPr>
    <w:rPr>
      <w:kern w:val="0"/>
      <w:sz w:val="24"/>
      <w:lang w:val="en-US" w:eastAsia="zh-CN" w:bidi="ar"/>
    </w:rPr>
  </w:style>
  <w:style w:type="paragraph" w:styleId="16">
    <w:name w:val="index 1"/>
    <w:basedOn w:val="1"/>
    <w:next w:val="1"/>
    <w:qFormat/>
    <w:uiPriority w:val="0"/>
    <w:pPr>
      <w:spacing w:line="360" w:lineRule="auto"/>
      <w:jc w:val="center"/>
    </w:pPr>
    <w:rPr>
      <w:rFonts w:ascii="宋体" w:hAnsi="宋体"/>
      <w:b/>
      <w:bCs/>
      <w:sz w:val="24"/>
    </w:rPr>
  </w:style>
  <w:style w:type="paragraph" w:styleId="17">
    <w:name w:val="Body Text First Indent 2"/>
    <w:basedOn w:val="9"/>
    <w:next w:val="14"/>
    <w:qFormat/>
    <w:uiPriority w:val="0"/>
    <w:pPr>
      <w:ind w:left="420" w:firstLine="420" w:firstLineChars="200"/>
    </w:pPr>
    <w:rPr>
      <w:rFonts w:ascii="Calibri" w:hAnsi="Calibri"/>
      <w:sz w:val="21"/>
      <w:szCs w:val="2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customStyle="1" w:styleId="22">
    <w:name w:val="NormalCharacter"/>
    <w:link w:val="1"/>
    <w:qFormat/>
    <w:uiPriority w:val="0"/>
    <w:rPr>
      <w:rFonts w:ascii="Times New Roman" w:hAnsi="Times New Roman" w:eastAsia="宋体" w:cs="Times New Roman"/>
      <w:kern w:val="2"/>
      <w:sz w:val="21"/>
      <w:lang w:val="en-US" w:eastAsia="zh-CN" w:bidi="ar-SA"/>
    </w:rPr>
  </w:style>
  <w:style w:type="character" w:customStyle="1" w:styleId="23">
    <w:name w:val="标题 1 Char Char"/>
    <w:link w:val="2"/>
    <w:qFormat/>
    <w:uiPriority w:val="0"/>
    <w:rPr>
      <w:rFonts w:ascii="Times New Roman" w:hAnsi="Times New Roman" w:eastAsia="黑体"/>
      <w:b/>
      <w:bCs/>
      <w:kern w:val="44"/>
      <w:sz w:val="32"/>
      <w:szCs w:val="44"/>
    </w:rPr>
  </w:style>
  <w:style w:type="paragraph" w:customStyle="1" w:styleId="24">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5">
    <w:name w:val="标题 2 Char1"/>
    <w:link w:val="3"/>
    <w:qFormat/>
    <w:uiPriority w:val="0"/>
    <w:rPr>
      <w:rFonts w:ascii="Arial" w:hAnsi="Arial" w:eastAsia="仿宋_GB2312"/>
      <w:b/>
      <w:bCs/>
      <w:kern w:val="2"/>
      <w:sz w:val="32"/>
      <w:szCs w:val="32"/>
    </w:rPr>
  </w:style>
  <w:style w:type="character" w:customStyle="1" w:styleId="26">
    <w:name w:val="fontstyle01"/>
    <w:qFormat/>
    <w:uiPriority w:val="0"/>
    <w:rPr>
      <w:rFonts w:hint="eastAsia" w:ascii="宋体" w:hAnsi="宋体" w:eastAsia="宋体"/>
      <w:color w:val="000000"/>
      <w:sz w:val="22"/>
      <w:szCs w:val="22"/>
    </w:rPr>
  </w:style>
  <w:style w:type="paragraph" w:customStyle="1" w:styleId="27">
    <w:name w:val="xl31"/>
    <w:basedOn w:val="1"/>
    <w:qFormat/>
    <w:uiPriority w:val="0"/>
    <w:pPr>
      <w:widowControl/>
      <w:spacing w:before="100" w:beforeAutospacing="1" w:after="100" w:afterAutospacing="1"/>
      <w:jc w:val="center"/>
    </w:pPr>
    <w:rPr>
      <w:b/>
      <w:bCs/>
      <w:kern w:val="0"/>
      <w:sz w:val="28"/>
      <w:szCs w:val="28"/>
    </w:rPr>
  </w:style>
  <w:style w:type="character" w:customStyle="1" w:styleId="28">
    <w:name w:val="font41"/>
    <w:basedOn w:val="20"/>
    <w:qFormat/>
    <w:uiPriority w:val="0"/>
    <w:rPr>
      <w:rFonts w:hint="eastAsia" w:ascii="宋体" w:hAnsi="宋体" w:eastAsia="宋体" w:cs="宋体"/>
      <w:b/>
      <w:bCs/>
      <w:color w:val="000000"/>
      <w:sz w:val="20"/>
      <w:szCs w:val="20"/>
      <w:u w:val="none"/>
    </w:rPr>
  </w:style>
  <w:style w:type="character" w:customStyle="1" w:styleId="29">
    <w:name w:val="font11"/>
    <w:basedOn w:val="20"/>
    <w:qFormat/>
    <w:uiPriority w:val="0"/>
    <w:rPr>
      <w:rFonts w:hint="eastAsia" w:ascii="宋体" w:hAnsi="宋体" w:eastAsia="宋体" w:cs="宋体"/>
      <w:color w:val="000000"/>
      <w:sz w:val="20"/>
      <w:szCs w:val="20"/>
      <w:u w:val="none"/>
    </w:rPr>
  </w:style>
  <w:style w:type="character" w:customStyle="1" w:styleId="30">
    <w:name w:val="font51"/>
    <w:basedOn w:val="20"/>
    <w:qFormat/>
    <w:uiPriority w:val="0"/>
    <w:rPr>
      <w:rFonts w:hint="eastAsia" w:ascii="宋体" w:hAnsi="宋体" w:eastAsia="宋体" w:cs="宋体"/>
      <w:color w:val="FF0000"/>
      <w:sz w:val="20"/>
      <w:szCs w:val="20"/>
      <w:u w:val="none"/>
    </w:rPr>
  </w:style>
  <w:style w:type="paragraph" w:customStyle="1" w:styleId="31">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2">
    <w:name w:val="font01"/>
    <w:basedOn w:val="20"/>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6090</Words>
  <Characters>6303</Characters>
  <Lines>0</Lines>
  <Paragraphs>0</Paragraphs>
  <TotalTime>25</TotalTime>
  <ScaleCrop>false</ScaleCrop>
  <LinksUpToDate>false</LinksUpToDate>
  <CharactersWithSpaces>7183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once</cp:lastModifiedBy>
  <cp:lastPrinted>2023-05-11T01:03:00Z</cp:lastPrinted>
  <dcterms:modified xsi:type="dcterms:W3CDTF">2023-12-12T01:53:26Z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E27F39F60EA14B16BCC9817D50B6A04F_13</vt:lpwstr>
  </property>
</Properties>
</file>