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1"/>
          <w:rFonts w:hint="default" w:ascii="宋体" w:hAnsi="宋体" w:eastAsia="宋体" w:cs="宋体"/>
          <w:sz w:val="32"/>
          <w:szCs w:val="32"/>
          <w:highlight w:val="none"/>
          <w:lang w:val="en-US"/>
        </w:rPr>
      </w:pPr>
      <w:r>
        <w:rPr>
          <w:rStyle w:val="21"/>
          <w:rFonts w:hint="eastAsia" w:ascii="宋体" w:hAnsi="宋体" w:eastAsia="宋体" w:cs="宋体"/>
          <w:sz w:val="32"/>
          <w:szCs w:val="32"/>
          <w:highlight w:val="none"/>
          <w:lang w:val="en-US"/>
        </w:rPr>
        <w:t>紫蓬山交通驿站初步设计及建筑外立面改造综合环境施工图</w:t>
      </w:r>
    </w:p>
    <w:p>
      <w:pPr>
        <w:pStyle w:val="3"/>
        <w:spacing w:before="120" w:beforeLines="0" w:line="360" w:lineRule="auto"/>
        <w:ind w:firstLine="0"/>
        <w:rPr>
          <w:rStyle w:val="21"/>
          <w:rFonts w:hint="eastAsia" w:ascii="宋体" w:hAnsi="宋体" w:eastAsia="宋体" w:cs="宋体"/>
          <w:sz w:val="52"/>
          <w:szCs w:val="52"/>
          <w:highlight w:val="none"/>
          <w:lang w:val="en-US"/>
        </w:rPr>
      </w:pPr>
      <w:r>
        <w:rPr>
          <w:rStyle w:val="21"/>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1"/>
          <w:rFonts w:hint="eastAsia" w:ascii="宋体" w:hAnsi="宋体" w:eastAsia="宋体" w:cs="宋体"/>
          <w:sz w:val="52"/>
          <w:szCs w:val="52"/>
          <w:highlight w:val="none"/>
          <w:lang w:val="en-US"/>
        </w:rPr>
      </w:pPr>
      <w:bookmarkStart w:id="0" w:name="_Toc2457"/>
      <w:r>
        <w:rPr>
          <w:rStyle w:val="21"/>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1"/>
          <w:rFonts w:hint="eastAsia" w:ascii="宋体" w:hAnsi="宋体" w:eastAsia="宋体" w:cs="宋体"/>
          <w:sz w:val="52"/>
          <w:szCs w:val="52"/>
          <w:highlight w:val="none"/>
        </w:rPr>
      </w:pPr>
      <w:r>
        <w:rPr>
          <w:rStyle w:val="21"/>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1"/>
          <w:rFonts w:hint="eastAsia" w:ascii="宋体" w:hAnsi="宋体" w:eastAsia="宋体" w:cs="宋体"/>
          <w:sz w:val="52"/>
          <w:szCs w:val="52"/>
          <w:highlight w:val="none"/>
        </w:rPr>
      </w:pPr>
      <w:r>
        <w:rPr>
          <w:rStyle w:val="21"/>
          <w:rFonts w:hint="eastAsia" w:ascii="宋体" w:hAnsi="宋体" w:eastAsia="宋体" w:cs="宋体"/>
          <w:sz w:val="52"/>
          <w:szCs w:val="52"/>
          <w:highlight w:val="none"/>
        </w:rPr>
        <w:t>件</w:t>
      </w:r>
    </w:p>
    <w:p>
      <w:pPr>
        <w:rPr>
          <w:rStyle w:val="21"/>
          <w:rFonts w:hint="eastAsia" w:ascii="宋体" w:hAnsi="宋体" w:cs="宋体"/>
          <w:sz w:val="44"/>
          <w:szCs w:val="44"/>
          <w:highlight w:val="none"/>
        </w:rPr>
      </w:pPr>
    </w:p>
    <w:p>
      <w:pPr>
        <w:pStyle w:val="7"/>
        <w:rPr>
          <w:rStyle w:val="21"/>
          <w:rFonts w:hint="eastAsia" w:ascii="宋体" w:hAnsi="宋体" w:cs="宋体"/>
          <w:sz w:val="44"/>
          <w:szCs w:val="44"/>
          <w:highlight w:val="none"/>
        </w:rPr>
      </w:pPr>
    </w:p>
    <w:p>
      <w:pPr>
        <w:rPr>
          <w:rStyle w:val="21"/>
          <w:rFonts w:hint="eastAsia" w:ascii="宋体" w:hAnsi="宋体" w:cs="宋体"/>
          <w:sz w:val="44"/>
          <w:szCs w:val="44"/>
          <w:highlight w:val="none"/>
        </w:rPr>
      </w:pPr>
    </w:p>
    <w:p>
      <w:pPr>
        <w:pStyle w:val="16"/>
        <w:ind w:firstLine="880"/>
        <w:rPr>
          <w:rStyle w:val="21"/>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9</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rPr>
          <w:rStyle w:val="22"/>
          <w:rFonts w:hint="eastAsia" w:ascii="宋体" w:hAnsi="宋体" w:eastAsia="宋体" w:cs="宋体"/>
          <w:b/>
          <w:bCs/>
          <w:sz w:val="30"/>
          <w:szCs w:val="30"/>
          <w:highlight w:val="none"/>
          <w:lang w:val="en-US" w:eastAsia="zh-CN"/>
        </w:rPr>
      </w:pPr>
      <w:r>
        <w:rPr>
          <w:rStyle w:val="22"/>
          <w:rFonts w:hint="eastAsia" w:ascii="宋体" w:hAnsi="宋体" w:eastAsia="宋体" w:cs="宋体"/>
          <w:b/>
          <w:bCs/>
          <w:sz w:val="30"/>
          <w:szCs w:val="30"/>
          <w:highlight w:val="none"/>
          <w:lang w:val="en-US" w:eastAsia="zh-CN"/>
        </w:rPr>
        <w:br w:type="page"/>
      </w:r>
    </w:p>
    <w:p>
      <w:pPr>
        <w:pStyle w:val="3"/>
        <w:spacing w:before="120" w:beforeLines="0" w:line="360" w:lineRule="auto"/>
        <w:ind w:firstLine="602" w:firstLineChars="200"/>
        <w:rPr>
          <w:rFonts w:hint="eastAsia" w:ascii="宋体" w:hAnsi="宋体" w:eastAsia="宋体" w:cs="宋体"/>
          <w:sz w:val="28"/>
          <w:szCs w:val="28"/>
          <w:highlight w:val="none"/>
        </w:rPr>
      </w:pPr>
      <w:r>
        <w:rPr>
          <w:rStyle w:val="22"/>
          <w:rFonts w:hint="eastAsia" w:ascii="宋体" w:hAnsi="宋体" w:eastAsia="宋体" w:cs="宋体"/>
          <w:b/>
          <w:bCs/>
          <w:sz w:val="30"/>
          <w:szCs w:val="30"/>
          <w:highlight w:val="none"/>
          <w:lang w:val="en-US" w:eastAsia="zh-CN"/>
        </w:rPr>
        <w:t>第一章</w:t>
      </w:r>
      <w:bookmarkEnd w:id="0"/>
      <w:r>
        <w:rPr>
          <w:rStyle w:val="22"/>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紫蓬山交通驿站初步设计及建筑外立面改造综合环境施工图</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rPr>
        <w:t>紫蓬山交通驿站初步设计及建筑外立面改造综合环境施工图</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肥西县紫蓬山</w:t>
      </w:r>
      <w:bookmarkStart w:id="38" w:name="_GoBack"/>
      <w:bookmarkEnd w:id="38"/>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概况：本项目位于紫蓬山风景区西庐寺旁原假日酒店，项目总体规划素食餐饮、禅意住宿、国学课程三大类产品，满足游客住宿及餐饮需求，完善紫蓬山景区的基础业态配套。</w:t>
      </w:r>
    </w:p>
    <w:p>
      <w:pPr>
        <w:numPr>
          <w:ilvl w:val="0"/>
          <w:numId w:val="0"/>
        </w:numPr>
        <w:autoSpaceDE w:val="0"/>
        <w:autoSpaceDN w:val="0"/>
        <w:adjustRightInd w:val="0"/>
        <w:spacing w:line="360" w:lineRule="auto"/>
        <w:ind w:firstLine="480" w:firstLineChars="200"/>
        <w:jc w:val="left"/>
        <w:rPr>
          <w:rFonts w:hint="default"/>
          <w:highlight w:val="none"/>
          <w:lang w:val="en-US" w:eastAsia="zh-CN"/>
        </w:rPr>
      </w:pPr>
      <w:r>
        <w:rPr>
          <w:rFonts w:hint="eastAsia" w:ascii="宋体" w:hAnsi="宋体" w:cs="宋体"/>
          <w:sz w:val="24"/>
          <w:szCs w:val="24"/>
          <w:highlight w:val="none"/>
          <w:lang w:val="en-US" w:eastAsia="zh-CN"/>
        </w:rPr>
        <w:t>招标范围：包括不限于1.从方案设计到施工图深化全过程设计；2.设计全过程所有审批环节的论证、评审、评估工作（含发生的所有费用）3.施工过程中的全过程设计服务，直至项目竣工验收合格整体移交。项目总工期为20天</w:t>
      </w:r>
    </w:p>
    <w:p>
      <w:pPr>
        <w:numPr>
          <w:ilvl w:val="0"/>
          <w:numId w:val="1"/>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28万</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3、具备建筑工程设计乙级及以上或建筑设计综合甲级资质</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cs="宋体"/>
          <w:color w:val="auto"/>
          <w:sz w:val="24"/>
          <w:szCs w:val="24"/>
          <w:highlight w:val="none"/>
          <w:lang w:eastAsia="zh-CN"/>
        </w:rPr>
        <w:t>2023年09月26日</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2"/>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Style w:val="22"/>
          <w:rFonts w:hint="eastAsia" w:ascii="宋体" w:hAnsi="宋体" w:eastAsia="宋体" w:cs="宋体"/>
          <w:b/>
          <w:bCs/>
          <w:sz w:val="30"/>
          <w:szCs w:val="30"/>
          <w:highlight w:val="none"/>
          <w:lang w:val="en-US" w:eastAsia="zh-CN"/>
        </w:rPr>
      </w:pPr>
      <w:bookmarkStart w:id="1" w:name="_Toc220232390"/>
      <w:bookmarkStart w:id="2" w:name="_Toc20903"/>
      <w:r>
        <w:rPr>
          <w:rStyle w:val="22"/>
          <w:rFonts w:hint="eastAsia" w:ascii="宋体" w:hAnsi="宋体" w:eastAsia="宋体" w:cs="宋体"/>
          <w:b/>
          <w:bCs/>
          <w:sz w:val="30"/>
          <w:szCs w:val="30"/>
          <w:highlight w:val="none"/>
          <w:lang w:val="en-US" w:eastAsia="zh-CN"/>
        </w:rPr>
        <w:br w:type="page"/>
      </w:r>
    </w:p>
    <w:p>
      <w:pPr>
        <w:pStyle w:val="3"/>
        <w:pageBreakBefore w:val="0"/>
        <w:widowControl w:val="0"/>
        <w:kinsoku/>
        <w:wordWrap/>
        <w:overflowPunct/>
        <w:topLinePunct w:val="0"/>
        <w:bidi w:val="0"/>
        <w:spacing w:line="360" w:lineRule="auto"/>
        <w:ind w:firstLine="0"/>
        <w:jc w:val="center"/>
        <w:textAlignment w:val="auto"/>
        <w:rPr>
          <w:rStyle w:val="22"/>
          <w:rFonts w:hint="eastAsia" w:ascii="宋体" w:hAnsi="宋体" w:eastAsia="宋体" w:cs="宋体"/>
          <w:b w:val="0"/>
          <w:bCs w:val="0"/>
          <w:sz w:val="28"/>
          <w:szCs w:val="28"/>
          <w:highlight w:val="none"/>
        </w:rPr>
      </w:pPr>
      <w:r>
        <w:rPr>
          <w:rStyle w:val="22"/>
          <w:rFonts w:hint="eastAsia" w:ascii="宋体" w:hAnsi="宋体" w:eastAsia="宋体" w:cs="宋体"/>
          <w:b/>
          <w:bCs/>
          <w:sz w:val="30"/>
          <w:szCs w:val="30"/>
          <w:highlight w:val="none"/>
          <w:lang w:val="en-US" w:eastAsia="zh-CN"/>
        </w:rPr>
        <w:t xml:space="preserve">第二章 </w:t>
      </w:r>
      <w:bookmarkEnd w:id="1"/>
      <w:r>
        <w:rPr>
          <w:rStyle w:val="22"/>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ascii="宋体" w:hAnsi="宋体" w:cs="宋体"/>
          <w:sz w:val="24"/>
          <w:szCs w:val="24"/>
          <w:highlight w:val="yellow"/>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rPr>
        <w:t>紫蓬山交通驿站初步设计及建筑外立面改造综合环境施工图</w:t>
      </w:r>
      <w:r>
        <w:rPr>
          <w:rFonts w:hint="eastAsia" w:asciiTheme="minorEastAsia" w:hAnsiTheme="minorEastAsia" w:eastAsiaTheme="minorEastAsia" w:cstheme="minorEastAsia"/>
          <w:kern w:val="0"/>
          <w:sz w:val="24"/>
          <w:szCs w:val="24"/>
          <w:highlight w:val="none"/>
          <w:lang w:val="en-US" w:eastAsia="zh-CN"/>
        </w:rPr>
        <w:t>全过程设计。</w:t>
      </w:r>
    </w:p>
    <w:p>
      <w:pPr>
        <w:pageBreakBefore w:val="0"/>
        <w:widowControl w:val="0"/>
        <w:numPr>
          <w:ilvl w:val="0"/>
          <w:numId w:val="0"/>
        </w:numPr>
        <w:kinsoku/>
        <w:wordWrap/>
        <w:overflowPunct/>
        <w:topLinePunct w:val="0"/>
        <w:autoSpaceDE w:val="0"/>
        <w:autoSpaceDN w:val="0"/>
        <w:bidi w:val="0"/>
        <w:snapToGrid/>
        <w:spacing w:line="360" w:lineRule="auto"/>
        <w:ind w:firstLine="482" w:firstLineChars="200"/>
        <w:textAlignment w:val="auto"/>
        <w:rPr>
          <w:rFonts w:hint="eastAsia"/>
          <w:b w:val="0"/>
          <w:bCs w:val="0"/>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第一次：施工图审查合格并取得审图合格证后支付至设计费用的50%；第二次：项目竣工验收合格后支付至设计费用的100%。</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1"/>
          <w:rFonts w:hint="eastAsia" w:ascii="宋体" w:hAnsi="宋体" w:eastAsia="宋体"/>
          <w:b w:val="0"/>
          <w:bCs/>
          <w:i w:val="0"/>
          <w:caps w:val="0"/>
          <w:color w:val="000000"/>
          <w:spacing w:val="0"/>
          <w:w w:val="100"/>
          <w:kern w:val="0"/>
          <w:sz w:val="24"/>
          <w:szCs w:val="24"/>
          <w:highlight w:val="none"/>
          <w:lang w:val="en-US" w:eastAsia="zh-CN" w:bidi="ar-SA"/>
        </w:rPr>
      </w:pPr>
      <w:r>
        <w:rPr>
          <w:rStyle w:val="21"/>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1"/>
          <w:rFonts w:hint="eastAsia" w:ascii="宋体" w:hAnsi="宋体"/>
          <w:b w:val="0"/>
          <w:i w:val="0"/>
          <w:caps w:val="0"/>
          <w:color w:val="000000"/>
          <w:spacing w:val="0"/>
          <w:w w:val="100"/>
          <w:kern w:val="0"/>
          <w:sz w:val="24"/>
          <w:szCs w:val="24"/>
          <w:highlight w:val="none"/>
          <w:lang w:val="en-US" w:eastAsia="zh-CN" w:bidi="ar-SA"/>
        </w:rPr>
        <w:t>盖章的</w:t>
      </w:r>
      <w:r>
        <w:rPr>
          <w:rStyle w:val="21"/>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1"/>
          <w:rFonts w:hint="eastAsia" w:ascii="宋体" w:hAnsi="宋体" w:eastAsia="宋体"/>
          <w:b w:val="0"/>
          <w:bCs/>
          <w:i w:val="0"/>
          <w:caps w:val="0"/>
          <w:color w:val="000000"/>
          <w:spacing w:val="0"/>
          <w:w w:val="100"/>
          <w:kern w:val="0"/>
          <w:sz w:val="24"/>
          <w:szCs w:val="24"/>
          <w:highlight w:val="none"/>
          <w:lang w:val="en-US" w:eastAsia="zh-CN" w:bidi="ar-SA"/>
        </w:rPr>
        <w:t>：</w:t>
      </w:r>
      <w:r>
        <w:rPr>
          <w:rStyle w:val="21"/>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1"/>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1"/>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1"/>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1"/>
          <w:rFonts w:hint="eastAsia" w:ascii="宋体" w:hAnsi="宋体"/>
          <w:b w:val="0"/>
          <w:bCs/>
          <w:i w:val="0"/>
          <w:caps w:val="0"/>
          <w:color w:val="000000"/>
          <w:spacing w:val="0"/>
          <w:w w:val="100"/>
          <w:kern w:val="0"/>
          <w:sz w:val="24"/>
          <w:szCs w:val="24"/>
          <w:highlight w:val="none"/>
          <w:lang w:val="en-US" w:eastAsia="zh-CN" w:bidi="ar-SA"/>
        </w:rPr>
        <w:t>参审单位</w:t>
      </w:r>
      <w:r>
        <w:rPr>
          <w:rStyle w:val="21"/>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1"/>
          <w:rFonts w:hint="eastAsia" w:ascii="宋体" w:hAnsi="宋体"/>
          <w:b/>
          <w:bCs w:val="0"/>
          <w:i w:val="0"/>
          <w:caps w:val="0"/>
          <w:color w:val="auto"/>
          <w:spacing w:val="0"/>
          <w:w w:val="100"/>
          <w:kern w:val="0"/>
          <w:sz w:val="24"/>
          <w:szCs w:val="24"/>
          <w:highlight w:val="none"/>
          <w:u w:val="none"/>
          <w:lang w:val="en-US" w:eastAsia="zh-CN" w:bidi="ar-SA"/>
        </w:rPr>
      </w:pPr>
      <w:r>
        <w:rPr>
          <w:rStyle w:val="21"/>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1"/>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2023年09月26日-2023年09月28日12:00。</w:t>
      </w:r>
      <w:r>
        <w:rPr>
          <w:rStyle w:val="21"/>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lang w:val="en-US" w:eastAsia="zh-CN"/>
        </w:rPr>
      </w:pPr>
      <w:r>
        <w:rPr>
          <w:rStyle w:val="21"/>
          <w:rFonts w:hint="eastAsia" w:ascii="宋体" w:hAnsi="宋体"/>
          <w:b/>
          <w:bCs w:val="0"/>
          <w:i w:val="0"/>
          <w:caps w:val="0"/>
          <w:color w:val="auto"/>
          <w:spacing w:val="0"/>
          <w:w w:val="100"/>
          <w:kern w:val="0"/>
          <w:sz w:val="24"/>
          <w:szCs w:val="24"/>
          <w:highlight w:val="none"/>
          <w:u w:val="none"/>
          <w:lang w:val="en-US" w:eastAsia="zh-CN" w:bidi="ar-SA"/>
        </w:rPr>
        <w:br w:type="page"/>
      </w:r>
    </w:p>
    <w:p>
      <w:pPr>
        <w:pStyle w:val="3"/>
        <w:spacing w:line="500" w:lineRule="exact"/>
        <w:ind w:firstLine="0"/>
        <w:rPr>
          <w:rFonts w:hint="eastAsia" w:ascii="宋体" w:hAnsi="宋体" w:eastAsia="宋体" w:cs="宋体"/>
          <w:sz w:val="28"/>
          <w:szCs w:val="28"/>
          <w:highlight w:val="none"/>
        </w:rPr>
      </w:pPr>
      <w:r>
        <w:rPr>
          <w:rStyle w:val="22"/>
          <w:rFonts w:hint="eastAsia" w:ascii="宋体" w:hAnsi="宋体" w:eastAsia="宋体" w:cs="宋体"/>
          <w:b/>
          <w:bCs/>
          <w:sz w:val="28"/>
          <w:szCs w:val="28"/>
          <w:highlight w:val="none"/>
          <w:lang w:val="en-US" w:eastAsia="zh-CN"/>
        </w:rPr>
        <w:t>第三章 资审</w:t>
      </w:r>
      <w:bookmarkEnd w:id="3"/>
      <w:r>
        <w:rPr>
          <w:rStyle w:val="22"/>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本项目定价28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3"/>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pageBreakBefore w:val="0"/>
        <w:widowControl w:val="0"/>
        <w:kinsoku/>
        <w:wordWrap/>
        <w:overflowPunct/>
        <w:topLinePunct w:val="0"/>
        <w:autoSpaceDE/>
        <w:autoSpaceDN/>
        <w:bidi w:val="0"/>
        <w:adjustRightInd/>
        <w:snapToGrid/>
        <w:spacing w:before="153" w:beforeLines="50" w:after="153" w:afterLines="50" w:line="360" w:lineRule="auto"/>
        <w:ind w:firstLine="480" w:firstLineChars="200"/>
        <w:jc w:val="both"/>
        <w:textAlignment w:val="auto"/>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5"/>
        <w:gridCol w:w="741"/>
        <w:gridCol w:w="64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6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72"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lang w:val="en-US" w:eastAsia="zh-CN"/>
              </w:rPr>
              <w:t>20</w:t>
            </w:r>
            <w:r>
              <w:rPr>
                <w:rFonts w:hint="eastAsia"/>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sz w:val="21"/>
                <w:szCs w:val="21"/>
                <w:highlight w:val="none"/>
                <w:lang w:val="en-US" w:eastAsia="zh-CN"/>
              </w:rPr>
            </w:pPr>
            <w:r>
              <w:rPr>
                <w:rFonts w:hint="eastAsia" w:ascii="宋体" w:hAnsi="宋体"/>
                <w:kern w:val="0"/>
                <w:szCs w:val="21"/>
                <w:highlight w:val="none"/>
                <w:lang w:eastAsia="zh-CN"/>
              </w:rPr>
              <w:t>参审单位</w:t>
            </w:r>
            <w:r>
              <w:rPr>
                <w:rFonts w:hint="eastAsia" w:ascii="宋体" w:hAnsi="宋体"/>
                <w:sz w:val="21"/>
                <w:szCs w:val="21"/>
                <w:highlight w:val="none"/>
                <w:lang w:val="en-US" w:eastAsia="zh-CN"/>
              </w:rPr>
              <w:t>自2018年1月1日以来（时间以合同签订时间为准），具有单个合同工程总投资</w:t>
            </w:r>
            <w:r>
              <w:rPr>
                <w:rFonts w:hint="eastAsia" w:ascii="宋体" w:hAnsi="宋体"/>
                <w:sz w:val="21"/>
                <w:szCs w:val="21"/>
                <w:highlight w:val="none"/>
              </w:rPr>
              <w:t>不低于</w:t>
            </w:r>
            <w:r>
              <w:rPr>
                <w:rFonts w:hint="eastAsia" w:ascii="宋体" w:hAnsi="宋体"/>
                <w:sz w:val="21"/>
                <w:szCs w:val="21"/>
                <w:highlight w:val="none"/>
                <w:lang w:val="en-US" w:eastAsia="zh-CN"/>
              </w:rPr>
              <w:t>1500</w:t>
            </w:r>
            <w:r>
              <w:rPr>
                <w:rFonts w:hint="eastAsia" w:ascii="宋体" w:hAnsi="宋体"/>
                <w:sz w:val="21"/>
                <w:szCs w:val="21"/>
                <w:highlight w:val="none"/>
              </w:rPr>
              <w:t>万元的</w:t>
            </w:r>
            <w:r>
              <w:rPr>
                <w:rFonts w:hint="eastAsia" w:ascii="宋体" w:hAnsi="宋体"/>
                <w:sz w:val="21"/>
                <w:szCs w:val="21"/>
                <w:highlight w:val="none"/>
                <w:lang w:val="en-US" w:eastAsia="zh-CN"/>
              </w:rPr>
              <w:t>建筑</w:t>
            </w:r>
            <w:r>
              <w:rPr>
                <w:rFonts w:hint="eastAsia" w:ascii="宋体" w:hAnsi="宋体"/>
                <w:sz w:val="21"/>
                <w:szCs w:val="21"/>
                <w:highlight w:val="none"/>
              </w:rPr>
              <w:t>工程</w:t>
            </w:r>
            <w:r>
              <w:rPr>
                <w:rFonts w:hint="eastAsia" w:ascii="宋体" w:hAnsi="宋体"/>
                <w:sz w:val="21"/>
                <w:szCs w:val="21"/>
                <w:highlight w:val="none"/>
                <w:lang w:val="en-US" w:eastAsia="zh-CN"/>
              </w:rPr>
              <w:t>设计业绩。每个得10分，满分20分。</w:t>
            </w:r>
          </w:p>
          <w:p>
            <w:pPr>
              <w:jc w:val="left"/>
              <w:textAlignment w:val="baseline"/>
              <w:rPr>
                <w:highlight w:val="none"/>
              </w:rPr>
            </w:pPr>
            <w:r>
              <w:rPr>
                <w:rFonts w:hint="eastAsia" w:ascii="宋体" w:hAnsi="宋体"/>
                <w:sz w:val="21"/>
                <w:szCs w:val="21"/>
                <w:highlight w:val="none"/>
                <w:lang w:val="en-US" w:eastAsia="zh-CN"/>
              </w:rPr>
              <w:t>备注：</w:t>
            </w:r>
            <w:r>
              <w:rPr>
                <w:rFonts w:hint="eastAsia" w:hAnsi="宋体"/>
                <w:kern w:val="0"/>
                <w:sz w:val="21"/>
                <w:szCs w:val="21"/>
                <w:highlight w:val="none"/>
              </w:rPr>
              <w:t>（注：本项中涉及的项目指201</w:t>
            </w:r>
            <w:r>
              <w:rPr>
                <w:rFonts w:hint="eastAsia" w:hAnsi="宋体"/>
                <w:kern w:val="0"/>
                <w:sz w:val="21"/>
                <w:szCs w:val="21"/>
                <w:highlight w:val="none"/>
                <w:lang w:val="en-US" w:eastAsia="zh-CN"/>
              </w:rPr>
              <w:t>8</w:t>
            </w:r>
            <w:r>
              <w:rPr>
                <w:rFonts w:hint="eastAsia" w:hAnsi="宋体"/>
                <w:kern w:val="0"/>
                <w:sz w:val="21"/>
                <w:szCs w:val="21"/>
                <w:highlight w:val="none"/>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0"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Cs w:val="21"/>
              </w:rPr>
            </w:pPr>
            <w:r>
              <w:rPr>
                <w:rFonts w:hint="eastAsia" w:ascii="宋体" w:hAnsi="宋体" w:cs="宋体"/>
                <w:szCs w:val="21"/>
              </w:rPr>
              <w:t>项目负责人</w:t>
            </w:r>
            <w:r>
              <w:rPr>
                <w:rFonts w:hint="eastAsia" w:ascii="宋体" w:hAnsi="宋体" w:cs="宋体"/>
                <w:szCs w:val="21"/>
                <w:lang w:eastAsia="zh-CN"/>
              </w:rPr>
              <w:t>证书</w:t>
            </w:r>
          </w:p>
        </w:tc>
        <w:tc>
          <w:tcPr>
            <w:tcW w:w="37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Cs w:val="21"/>
              </w:rPr>
            </w:pPr>
            <w:r>
              <w:rPr>
                <w:rFonts w:ascii="宋体" w:hAnsi="宋体" w:cs="宋体"/>
                <w:szCs w:val="21"/>
              </w:rPr>
              <w:t>10</w:t>
            </w:r>
            <w:r>
              <w:rPr>
                <w:rFonts w:hint="eastAsia" w:ascii="宋体" w:hAnsi="宋体" w:cs="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ascii="宋体" w:hAnsi="宋体"/>
                <w:bCs/>
                <w:sz w:val="20"/>
                <w:szCs w:val="21"/>
                <w:highlight w:val="none"/>
              </w:rPr>
            </w:pPr>
            <w:r>
              <w:rPr>
                <w:rFonts w:hint="eastAsia" w:ascii="宋体" w:hAnsi="宋体"/>
                <w:bCs/>
                <w:szCs w:val="21"/>
                <w:highlight w:val="none"/>
                <w:lang w:eastAsia="zh-CN"/>
              </w:rPr>
              <w:t>参审单位</w:t>
            </w:r>
            <w:r>
              <w:rPr>
                <w:rFonts w:hint="eastAsia" w:ascii="宋体" w:hAnsi="宋体"/>
                <w:bCs/>
                <w:szCs w:val="21"/>
                <w:highlight w:val="none"/>
              </w:rPr>
              <w:t>为本项目配备的项目负责人：</w:t>
            </w:r>
          </w:p>
          <w:p>
            <w:pPr>
              <w:numPr>
                <w:ilvl w:val="0"/>
                <w:numId w:val="4"/>
              </w:numPr>
              <w:jc w:val="left"/>
              <w:textAlignment w:val="baseline"/>
              <w:rPr>
                <w:rFonts w:hint="eastAsia" w:ascii="宋体" w:hAnsi="宋体"/>
                <w:bCs/>
                <w:szCs w:val="21"/>
                <w:highlight w:val="none"/>
              </w:rPr>
            </w:pPr>
            <w:r>
              <w:rPr>
                <w:rFonts w:hint="eastAsia" w:ascii="宋体" w:hAnsi="宋体"/>
                <w:bCs/>
                <w:szCs w:val="21"/>
                <w:highlight w:val="none"/>
              </w:rPr>
              <w:t>项目负责人具备</w:t>
            </w:r>
            <w:r>
              <w:rPr>
                <w:rFonts w:hint="eastAsia" w:ascii="宋体" w:hAnsi="宋体"/>
                <w:bCs/>
                <w:szCs w:val="21"/>
                <w:highlight w:val="none"/>
                <w:lang w:eastAsia="zh-CN"/>
              </w:rPr>
              <w:t>正</w:t>
            </w:r>
            <w:r>
              <w:rPr>
                <w:rFonts w:hint="eastAsia" w:ascii="宋体" w:hAnsi="宋体"/>
                <w:bCs/>
                <w:szCs w:val="21"/>
                <w:highlight w:val="none"/>
              </w:rPr>
              <w:t>高级</w:t>
            </w:r>
            <w:r>
              <w:rPr>
                <w:rFonts w:hint="eastAsia" w:ascii="宋体" w:hAnsi="宋体"/>
                <w:bCs/>
                <w:szCs w:val="21"/>
                <w:highlight w:val="none"/>
                <w:lang w:eastAsia="zh-CN"/>
              </w:rPr>
              <w:t>工程师以上</w:t>
            </w:r>
            <w:r>
              <w:rPr>
                <w:rFonts w:hint="eastAsia" w:ascii="宋体" w:hAnsi="宋体"/>
                <w:bCs/>
                <w:szCs w:val="21"/>
                <w:highlight w:val="none"/>
              </w:rPr>
              <w:t>职称资格的，得</w:t>
            </w:r>
            <w:r>
              <w:rPr>
                <w:rFonts w:hint="eastAsia" w:ascii="宋体" w:hAnsi="宋体"/>
                <w:bCs/>
                <w:szCs w:val="21"/>
                <w:highlight w:val="none"/>
                <w:lang w:val="en-US" w:eastAsia="zh-CN"/>
              </w:rPr>
              <w:t>10</w:t>
            </w:r>
            <w:r>
              <w:rPr>
                <w:rFonts w:hint="eastAsia" w:ascii="宋体" w:hAnsi="宋体"/>
                <w:bCs/>
                <w:szCs w:val="21"/>
                <w:highlight w:val="none"/>
              </w:rPr>
              <w:t>分；项目负责人具备高级工程师职称资格的，得</w:t>
            </w:r>
            <w:r>
              <w:rPr>
                <w:rFonts w:hint="eastAsia" w:ascii="宋体" w:hAnsi="宋体"/>
                <w:bCs/>
                <w:szCs w:val="21"/>
                <w:highlight w:val="none"/>
                <w:lang w:val="en-US" w:eastAsia="zh-CN"/>
              </w:rPr>
              <w:t>5</w:t>
            </w:r>
            <w:r>
              <w:rPr>
                <w:rFonts w:hint="eastAsia" w:ascii="宋体" w:hAnsi="宋体"/>
                <w:bCs/>
                <w:szCs w:val="21"/>
                <w:highlight w:val="none"/>
              </w:rPr>
              <w:t>分；</w:t>
            </w:r>
          </w:p>
          <w:p>
            <w:pPr>
              <w:spacing w:line="320" w:lineRule="exact"/>
              <w:textAlignment w:val="baseline"/>
              <w:rPr>
                <w:rFonts w:ascii="宋体" w:hAnsi="宋体"/>
                <w:bCs/>
                <w:sz w:val="20"/>
                <w:szCs w:val="21"/>
                <w:highlight w:val="none"/>
              </w:rPr>
            </w:pPr>
            <w:r>
              <w:rPr>
                <w:rFonts w:hint="eastAsia" w:ascii="宋体" w:hAnsi="宋体"/>
                <w:bCs/>
                <w:szCs w:val="21"/>
                <w:highlight w:val="none"/>
              </w:rPr>
              <w:t>（注：</w:t>
            </w:r>
            <w:r>
              <w:rPr>
                <w:rFonts w:hint="eastAsia" w:ascii="宋体" w:hAnsi="宋体"/>
                <w:bCs/>
                <w:szCs w:val="21"/>
                <w:highlight w:val="none"/>
                <w:lang w:eastAsia="zh-CN"/>
              </w:rPr>
              <w:t>参审单位</w:t>
            </w:r>
            <w:r>
              <w:rPr>
                <w:rFonts w:hint="eastAsia" w:ascii="宋体" w:hAnsi="宋体"/>
                <w:bCs/>
                <w:szCs w:val="21"/>
                <w:highlight w:val="none"/>
              </w:rPr>
              <w:t>需提供项目负责人近半年内任意三个月的社保证明文件，职称证书、获奖证书扫描件）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7"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kern w:val="0"/>
                <w:szCs w:val="21"/>
              </w:rPr>
              <w:t>70</w:t>
            </w:r>
            <w:r>
              <w:rPr>
                <w:rFonts w:hint="eastAsia"/>
                <w:kern w:val="0"/>
                <w:szCs w:val="21"/>
              </w:rPr>
              <w:t>分</w:t>
            </w:r>
          </w:p>
        </w:tc>
        <w:tc>
          <w:tcPr>
            <w:tcW w:w="660"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设计方案说明</w:t>
            </w:r>
          </w:p>
        </w:tc>
        <w:tc>
          <w:tcPr>
            <w:tcW w:w="37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ascii="宋体" w:hAnsi="宋体"/>
                <w:szCs w:val="21"/>
              </w:rPr>
              <w:t>30</w:t>
            </w:r>
            <w:r>
              <w:rPr>
                <w:rFonts w:hint="eastAsia" w:ascii="宋体" w:hAnsi="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Cs w:val="21"/>
                <w:lang w:val="zh-CN" w:bidi="zh-CN"/>
              </w:rPr>
            </w:pPr>
            <w:r>
              <w:rPr>
                <w:rFonts w:hint="eastAsia" w:ascii="宋体" w:hAnsi="宋体"/>
                <w:bCs/>
                <w:szCs w:val="21"/>
                <w:lang w:eastAsia="zh-CN"/>
              </w:rPr>
              <w:t>参审单位</w:t>
            </w:r>
            <w:r>
              <w:t>结合对本项目的理解，进行创作思路阐述，结合效果图表现，初步方案寓意表达清晰，立意新颖，方案编制合理可行，线路清晰、准确、完整能充分反映设计意图。根据对比由评标委员会进行酌情打分，设计方案寓意表达清晰，立意新颖，方案编制合理可行，线路清晰、准确、完整能充分反映设计意图得25（含）-30分；设计方案寓意表达较清晰，立意新颖，方案编制较合理可行，线路清晰、准确、完整基本能反映设计意图得15（含）-25分；设计方案寓意表达较不清晰，方案编制合理性差、可行性差，线路无法反映设计意图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4"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0" w:type="pct"/>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bCs/>
                <w:szCs w:val="21"/>
              </w:rPr>
            </w:pPr>
            <w:r>
              <w:rPr>
                <w:rFonts w:hint="eastAsia" w:hAnsi="宋体"/>
                <w:bCs/>
                <w:szCs w:val="21"/>
              </w:rPr>
              <w:t>设计方案的重点难点分析与解决</w:t>
            </w:r>
          </w:p>
        </w:tc>
        <w:tc>
          <w:tcPr>
            <w:tcW w:w="372"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rPr>
            </w:pPr>
            <w:r>
              <w:rPr>
                <w:rFonts w:hAnsi="宋体"/>
                <w:bCs/>
                <w:szCs w:val="21"/>
              </w:rPr>
              <w:t>2</w:t>
            </w:r>
            <w:r>
              <w:rPr>
                <w:rFonts w:hint="eastAsia" w:hAnsi="宋体"/>
                <w:bCs/>
                <w:szCs w:val="21"/>
              </w:rPr>
              <w:t>0分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Ansi="宋体"/>
                <w:bCs/>
                <w:szCs w:val="21"/>
              </w:rPr>
            </w:pPr>
            <w:r>
              <w:t>对本项目设计的重点、难点的分析全面、确切，重点突出，对策针对性强的得15(含）-20分；对本项目设计的重点、难点的分析一般，重点基本突出，对策针对性</w:t>
            </w:r>
            <w:r>
              <w:rPr>
                <w:rFonts w:hint="eastAsia"/>
              </w:rPr>
              <w:t>一般</w:t>
            </w:r>
            <w:r>
              <w:t>的得0(含）-15分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12" w:hRule="atLeast"/>
          <w:jc w:val="center"/>
        </w:trPr>
        <w:tc>
          <w:tcPr>
            <w:tcW w:w="707" w:type="pct"/>
            <w:vMerge w:val="continue"/>
            <w:tcBorders>
              <w:top w:val="single" w:color="auto" w:sz="4" w:space="0"/>
              <w:bottom w:val="single" w:color="auto" w:sz="4" w:space="0"/>
              <w:right w:val="single" w:color="auto" w:sz="4" w:space="0"/>
            </w:tcBorders>
            <w:vAlign w:val="center"/>
          </w:tcPr>
          <w:p>
            <w:pPr>
              <w:spacing w:line="360" w:lineRule="auto"/>
              <w:jc w:val="center"/>
              <w:rPr>
                <w:rFonts w:ascii="仿宋" w:hAnsi="仿宋" w:eastAsia="仿宋"/>
                <w:szCs w:val="21"/>
              </w:rPr>
            </w:pPr>
          </w:p>
        </w:tc>
        <w:tc>
          <w:tcPr>
            <w:tcW w:w="660"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Cs w:val="21"/>
              </w:rPr>
            </w:pPr>
            <w:r>
              <w:rPr>
                <w:rFonts w:hint="eastAsia" w:ascii="宋体" w:hAnsi="宋体"/>
              </w:rPr>
              <w:t>设计质量控制</w:t>
            </w:r>
          </w:p>
        </w:tc>
        <w:tc>
          <w:tcPr>
            <w:tcW w:w="372"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Cs w:val="21"/>
              </w:rPr>
            </w:pPr>
            <w:r>
              <w:rPr>
                <w:rFonts w:ascii="宋体" w:hAnsi="宋体"/>
                <w:szCs w:val="21"/>
              </w:rPr>
              <w:t>20</w:t>
            </w:r>
            <w:r>
              <w:rPr>
                <w:rFonts w:hint="eastAsia" w:ascii="宋体" w:hAnsi="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pPr>
            <w:r>
              <w:t>根据对设计文件编制的全过程质量控制措施进行评价，质量控制措完善、可行性高得15(含）-20分；质量控制</w:t>
            </w:r>
            <w:r>
              <w:rPr>
                <w:rFonts w:hint="eastAsia"/>
              </w:rPr>
              <w:t>措施</w:t>
            </w:r>
            <w:r>
              <w:t>基本完善、可行性一般得0-15分。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br w:type="page"/>
      </w:r>
    </w:p>
    <w:p>
      <w:pPr>
        <w:adjustRightInd w:val="0"/>
        <w:snapToGrid w:val="0"/>
        <w:spacing w:line="360" w:lineRule="auto"/>
        <w:ind w:right="-10" w:firstLine="490" w:firstLineChars="175"/>
        <w:jc w:val="center"/>
        <w:rPr>
          <w:rStyle w:val="22"/>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2"/>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2"/>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09738509"/>
      <w:bookmarkStart w:id="7" w:name="_Hlt519045391"/>
      <w:bookmarkStart w:id="8" w:name="_Hlt509738521"/>
    </w:p>
    <w:p>
      <w:pPr>
        <w:pStyle w:val="14"/>
        <w:rPr>
          <w:rFonts w:hint="eastAsia"/>
          <w:highlight w:val="none"/>
        </w:rPr>
      </w:pPr>
    </w:p>
    <w:p>
      <w:pPr>
        <w:pStyle w:val="3"/>
        <w:spacing w:before="120" w:beforeLines="0" w:line="360" w:lineRule="auto"/>
        <w:ind w:firstLine="0"/>
        <w:rPr>
          <w:rStyle w:val="21"/>
          <w:rFonts w:hint="default" w:ascii="宋体" w:hAnsi="宋体" w:eastAsia="宋体" w:cs="宋体"/>
          <w:sz w:val="32"/>
          <w:szCs w:val="32"/>
          <w:highlight w:val="none"/>
          <w:lang w:val="en-US"/>
        </w:rPr>
      </w:pPr>
      <w:r>
        <w:rPr>
          <w:rStyle w:val="21"/>
          <w:rFonts w:hint="eastAsia" w:ascii="宋体" w:hAnsi="宋体" w:eastAsia="宋体" w:cs="宋体"/>
          <w:sz w:val="32"/>
          <w:szCs w:val="32"/>
          <w:highlight w:val="none"/>
          <w:lang w:val="en-US"/>
        </w:rPr>
        <w:t>紫蓬山交通驿站初步设计及建筑外立面改造综合环境施工图</w:t>
      </w:r>
    </w:p>
    <w:p>
      <w:pPr>
        <w:pStyle w:val="7"/>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19045798"/>
      <w:bookmarkEnd w:id="9"/>
      <w:bookmarkStart w:id="10" w:name="_Hlt509716873"/>
      <w:bookmarkEnd w:id="10"/>
      <w:bookmarkStart w:id="11" w:name="_Hlt533408916"/>
      <w:bookmarkEnd w:id="11"/>
      <w:bookmarkStart w:id="12" w:name="_Hlt533408409"/>
      <w:bookmarkEnd w:id="12"/>
      <w:bookmarkStart w:id="13" w:name="_Hlt533409360"/>
      <w:bookmarkEnd w:id="13"/>
      <w:bookmarkStart w:id="14" w:name="_Toc13084"/>
      <w:bookmarkStart w:id="15" w:name="_Toc516969097"/>
      <w:bookmarkStart w:id="16" w:name="_Toc197934563"/>
      <w:r>
        <w:rPr>
          <w:rStyle w:val="24"/>
          <w:rFonts w:hint="eastAsia" w:ascii="宋体" w:hAnsi="宋体" w:eastAsia="宋体" w:cs="宋体"/>
          <w:b/>
          <w:bCs/>
          <w:sz w:val="28"/>
          <w:szCs w:val="28"/>
          <w:highlight w:val="none"/>
          <w:lang w:val="en-US" w:eastAsia="zh-CN"/>
        </w:rPr>
        <w:t>一．</w:t>
      </w:r>
      <w:r>
        <w:rPr>
          <w:rStyle w:val="24"/>
          <w:rFonts w:hint="eastAsia" w:hAnsi="宋体" w:eastAsia="宋体" w:cs="宋体"/>
          <w:b/>
          <w:bCs/>
          <w:sz w:val="28"/>
          <w:szCs w:val="28"/>
          <w:highlight w:val="none"/>
          <w:lang w:val="en-US" w:eastAsia="zh-CN"/>
        </w:rPr>
        <w:t>参审</w:t>
      </w:r>
      <w:r>
        <w:rPr>
          <w:rStyle w:val="24"/>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rPr>
              <w:t>紫蓬山交通驿站初步设计及建筑外立面改造综合环境施工图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rPr>
          <w:rFonts w:hint="eastAsia" w:ascii="宋体" w:hAnsi="宋体" w:cs="宋体"/>
          <w:b/>
          <w:sz w:val="28"/>
          <w:szCs w:val="28"/>
          <w:highlight w:val="none"/>
        </w:rPr>
      </w:pPr>
    </w:p>
    <w:p>
      <w:pPr>
        <w:pStyle w:val="11"/>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4"/>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084"/>
      <w:bookmarkStart w:id="21" w:name="_Toc535241227"/>
      <w:bookmarkStart w:id="22" w:name="_Toc535241130"/>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5"/>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4"/>
          <w:rFonts w:hint="eastAsia" w:hAnsi="宋体" w:eastAsia="宋体" w:cs="宋体"/>
          <w:b/>
          <w:bCs/>
          <w:sz w:val="28"/>
          <w:szCs w:val="28"/>
          <w:highlight w:val="none"/>
          <w:lang w:val="en-US" w:eastAsia="zh-CN"/>
        </w:rPr>
      </w:pPr>
    </w:p>
    <w:p>
      <w:pPr>
        <w:rPr>
          <w:rStyle w:val="24"/>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4"/>
          <w:rFonts w:hint="eastAsia" w:hAnsi="宋体" w:eastAsia="宋体" w:cs="宋体"/>
          <w:b/>
          <w:bCs/>
          <w:sz w:val="28"/>
          <w:szCs w:val="28"/>
          <w:highlight w:val="none"/>
          <w:lang w:val="en-US" w:eastAsia="zh-CN"/>
        </w:rPr>
        <w:t>三</w:t>
      </w:r>
      <w:r>
        <w:rPr>
          <w:rStyle w:val="24"/>
          <w:rFonts w:hint="eastAsia" w:ascii="宋体" w:hAnsi="宋体" w:eastAsia="宋体" w:cs="宋体"/>
          <w:b/>
          <w:bCs/>
          <w:sz w:val="28"/>
          <w:szCs w:val="28"/>
          <w:highlight w:val="none"/>
          <w:lang w:val="en-US" w:eastAsia="zh-CN"/>
        </w:rPr>
        <w:t>．</w:t>
      </w:r>
      <w:r>
        <w:rPr>
          <w:rStyle w:val="24"/>
          <w:rFonts w:hint="eastAsia" w:hAnsi="宋体" w:eastAsia="宋体" w:cs="宋体"/>
          <w:b/>
          <w:bCs/>
          <w:sz w:val="28"/>
          <w:szCs w:val="28"/>
          <w:highlight w:val="none"/>
          <w:lang w:val="en-US" w:eastAsia="zh-CN"/>
        </w:rPr>
        <w:t>承诺</w:t>
      </w:r>
      <w:r>
        <w:rPr>
          <w:rStyle w:val="24"/>
          <w:rFonts w:hint="eastAsia" w:ascii="宋体" w:hAnsi="宋体" w:eastAsia="宋体" w:cs="宋体"/>
          <w:b/>
          <w:bCs/>
          <w:sz w:val="28"/>
          <w:szCs w:val="28"/>
          <w:highlight w:val="none"/>
          <w:lang w:val="en-US" w:eastAsia="zh-CN"/>
        </w:rPr>
        <w:t>函</w:t>
      </w:r>
      <w:bookmarkEnd w:id="18"/>
      <w:bookmarkEnd w:id="19"/>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rPr>
        <w:t>紫蓬山交通驿站初步设计及建筑外立面改造综合环境施工图</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4"/>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4"/>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4"/>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500337343"/>
      <w:bookmarkStart w:id="29" w:name="_Toc19826"/>
      <w:r>
        <w:rPr>
          <w:rFonts w:hint="eastAsia" w:hAnsi="宋体" w:cs="宋体"/>
          <w:sz w:val="28"/>
          <w:szCs w:val="28"/>
          <w:highlight w:val="none"/>
          <w:lang w:val="en-US" w:eastAsia="zh-CN"/>
        </w:rPr>
        <w:t>五</w:t>
      </w:r>
      <w:r>
        <w:rPr>
          <w:rStyle w:val="24"/>
          <w:rFonts w:hint="eastAsia" w:ascii="宋体" w:hAnsi="宋体" w:eastAsia="宋体" w:cs="宋体"/>
          <w:b/>
          <w:bCs/>
          <w:sz w:val="28"/>
          <w:szCs w:val="28"/>
          <w:highlight w:val="none"/>
          <w:lang w:val="en-US" w:eastAsia="zh-CN"/>
        </w:rPr>
        <w:t>．</w:t>
      </w:r>
      <w:bookmarkEnd w:id="28"/>
      <w:bookmarkEnd w:id="29"/>
      <w:bookmarkStart w:id="30" w:name="_Toc220232402"/>
      <w:bookmarkStart w:id="31" w:name="_Toc516969105"/>
      <w:bookmarkStart w:id="32" w:name="_Toc26965"/>
      <w:r>
        <w:rPr>
          <w:rStyle w:val="24"/>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17338"/>
      <w:bookmarkStart w:id="36" w:name="_Toc500337346"/>
      <w:bookmarkStart w:id="37"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3513A6D1"/>
    <w:multiLevelType w:val="singleLevel"/>
    <w:tmpl w:val="3513A6D1"/>
    <w:lvl w:ilvl="0" w:tentative="0">
      <w:start w:val="5"/>
      <w:numFmt w:val="decimal"/>
      <w:lvlText w:val="%1."/>
      <w:lvlJc w:val="left"/>
      <w:pPr>
        <w:tabs>
          <w:tab w:val="left" w:pos="312"/>
        </w:tabs>
      </w:pPr>
    </w:lvl>
  </w:abstractNum>
  <w:abstractNum w:abstractNumId="3">
    <w:nsid w:val="59A93B5B"/>
    <w:multiLevelType w:val="singleLevel"/>
    <w:tmpl w:val="59A93B5B"/>
    <w:lvl w:ilvl="0" w:tentative="0">
      <w:start w:val="1"/>
      <w:numFmt w:val="decimal"/>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3D177E1"/>
    <w:rsid w:val="04526E7B"/>
    <w:rsid w:val="04BE14C0"/>
    <w:rsid w:val="05984FFD"/>
    <w:rsid w:val="081952B3"/>
    <w:rsid w:val="08922100"/>
    <w:rsid w:val="099F10DB"/>
    <w:rsid w:val="0BA23811"/>
    <w:rsid w:val="0DB54600"/>
    <w:rsid w:val="0E033F7A"/>
    <w:rsid w:val="0E4775D9"/>
    <w:rsid w:val="0EE91E83"/>
    <w:rsid w:val="135056C8"/>
    <w:rsid w:val="13C47160"/>
    <w:rsid w:val="140C4DDD"/>
    <w:rsid w:val="151934E3"/>
    <w:rsid w:val="158F4327"/>
    <w:rsid w:val="175054C9"/>
    <w:rsid w:val="182C1032"/>
    <w:rsid w:val="19567783"/>
    <w:rsid w:val="1B841D1D"/>
    <w:rsid w:val="1BF22A8E"/>
    <w:rsid w:val="1CDD28FB"/>
    <w:rsid w:val="21613F02"/>
    <w:rsid w:val="23A62190"/>
    <w:rsid w:val="23E028CC"/>
    <w:rsid w:val="26356BAE"/>
    <w:rsid w:val="284D407F"/>
    <w:rsid w:val="290D27BA"/>
    <w:rsid w:val="292559B5"/>
    <w:rsid w:val="2AA4674C"/>
    <w:rsid w:val="2C6B16A9"/>
    <w:rsid w:val="2D3A48A4"/>
    <w:rsid w:val="2E0E0B66"/>
    <w:rsid w:val="30DE4562"/>
    <w:rsid w:val="343F2DFD"/>
    <w:rsid w:val="39AB1468"/>
    <w:rsid w:val="3A587E8F"/>
    <w:rsid w:val="3B5A3BC4"/>
    <w:rsid w:val="3C0E6EC2"/>
    <w:rsid w:val="3C72614E"/>
    <w:rsid w:val="3E1901BE"/>
    <w:rsid w:val="3EF96B18"/>
    <w:rsid w:val="42E92FF7"/>
    <w:rsid w:val="4374368A"/>
    <w:rsid w:val="44823FC0"/>
    <w:rsid w:val="47C040BF"/>
    <w:rsid w:val="48044450"/>
    <w:rsid w:val="48536283"/>
    <w:rsid w:val="48811DCD"/>
    <w:rsid w:val="4A2000F0"/>
    <w:rsid w:val="4A7D1684"/>
    <w:rsid w:val="4DD50B0D"/>
    <w:rsid w:val="4EB85956"/>
    <w:rsid w:val="4F30519E"/>
    <w:rsid w:val="54537B65"/>
    <w:rsid w:val="54A70F6B"/>
    <w:rsid w:val="567F608E"/>
    <w:rsid w:val="57D87E20"/>
    <w:rsid w:val="5C0629E9"/>
    <w:rsid w:val="5CFE5FDA"/>
    <w:rsid w:val="5D1167E2"/>
    <w:rsid w:val="60A14592"/>
    <w:rsid w:val="64A5505E"/>
    <w:rsid w:val="6597619F"/>
    <w:rsid w:val="6608232F"/>
    <w:rsid w:val="66EF67B7"/>
    <w:rsid w:val="68816AA3"/>
    <w:rsid w:val="6C727408"/>
    <w:rsid w:val="6C8D2FC3"/>
    <w:rsid w:val="6D147674"/>
    <w:rsid w:val="70C65033"/>
    <w:rsid w:val="74AB6621"/>
    <w:rsid w:val="7E7D3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1"/>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2"/>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4"/>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table" w:styleId="18">
    <w:name w:val="Table Grid"/>
    <w:basedOn w:val="1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Hyperlink"/>
    <w:basedOn w:val="19"/>
    <w:unhideWhenUsed/>
    <w:qFormat/>
    <w:uiPriority w:val="99"/>
    <w:rPr>
      <w:color w:val="0563C1" w:themeColor="hyperlink"/>
      <w:u w:val="single"/>
      <w14:textFill>
        <w14:solidFill>
          <w14:schemeClr w14:val="hlink"/>
        </w14:solidFill>
      </w14:textFill>
    </w:rPr>
  </w:style>
  <w:style w:type="character" w:customStyle="1" w:styleId="21">
    <w:name w:val="NormalCharacter"/>
    <w:link w:val="1"/>
    <w:qFormat/>
    <w:uiPriority w:val="0"/>
    <w:rPr>
      <w:rFonts w:ascii="Times New Roman" w:hAnsi="Times New Roman" w:eastAsia="宋体" w:cs="Times New Roman"/>
      <w:kern w:val="2"/>
      <w:sz w:val="21"/>
      <w:lang w:val="en-US" w:eastAsia="zh-CN" w:bidi="ar-SA"/>
    </w:rPr>
  </w:style>
  <w:style w:type="character" w:customStyle="1" w:styleId="22">
    <w:name w:val="标题 1 Char Char"/>
    <w:link w:val="2"/>
    <w:qFormat/>
    <w:uiPriority w:val="0"/>
    <w:rPr>
      <w:rFonts w:ascii="Times New Roman" w:hAnsi="Times New Roman" w:eastAsia="黑体"/>
      <w:b/>
      <w:bCs/>
      <w:kern w:val="44"/>
      <w:sz w:val="32"/>
      <w:szCs w:val="44"/>
    </w:rPr>
  </w:style>
  <w:style w:type="paragraph" w:customStyle="1" w:styleId="23">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4">
    <w:name w:val="标题 2 Char1"/>
    <w:link w:val="3"/>
    <w:qFormat/>
    <w:uiPriority w:val="0"/>
    <w:rPr>
      <w:rFonts w:ascii="Arial" w:hAnsi="Arial" w:eastAsia="仿宋_GB2312"/>
      <w:b/>
      <w:bCs/>
      <w:kern w:val="2"/>
      <w:sz w:val="32"/>
      <w:szCs w:val="32"/>
    </w:rPr>
  </w:style>
  <w:style w:type="character" w:customStyle="1" w:styleId="25">
    <w:name w:val="fontstyle01"/>
    <w:qFormat/>
    <w:uiPriority w:val="0"/>
    <w:rPr>
      <w:rFonts w:hint="eastAsia" w:ascii="宋体" w:hAnsi="宋体" w:eastAsia="宋体"/>
      <w:color w:val="000000"/>
      <w:sz w:val="22"/>
      <w:szCs w:val="22"/>
    </w:rPr>
  </w:style>
  <w:style w:type="paragraph" w:customStyle="1" w:styleId="26">
    <w:name w:val="xl31"/>
    <w:basedOn w:val="1"/>
    <w:qFormat/>
    <w:uiPriority w:val="0"/>
    <w:pPr>
      <w:widowControl/>
      <w:spacing w:before="100" w:beforeAutospacing="1" w:after="100" w:afterAutospacing="1"/>
      <w:jc w:val="center"/>
    </w:pPr>
    <w:rPr>
      <w:b/>
      <w:bCs/>
      <w:kern w:val="0"/>
      <w:sz w:val="28"/>
      <w:szCs w:val="28"/>
    </w:rPr>
  </w:style>
  <w:style w:type="character" w:customStyle="1" w:styleId="27">
    <w:name w:val="font41"/>
    <w:basedOn w:val="19"/>
    <w:qFormat/>
    <w:uiPriority w:val="0"/>
    <w:rPr>
      <w:rFonts w:hint="eastAsia" w:ascii="宋体" w:hAnsi="宋体" w:eastAsia="宋体" w:cs="宋体"/>
      <w:b/>
      <w:bCs/>
      <w:color w:val="000000"/>
      <w:sz w:val="20"/>
      <w:szCs w:val="20"/>
      <w:u w:val="none"/>
    </w:rPr>
  </w:style>
  <w:style w:type="character" w:customStyle="1" w:styleId="28">
    <w:name w:val="font11"/>
    <w:basedOn w:val="19"/>
    <w:qFormat/>
    <w:uiPriority w:val="0"/>
    <w:rPr>
      <w:rFonts w:hint="eastAsia" w:ascii="宋体" w:hAnsi="宋体" w:eastAsia="宋体" w:cs="宋体"/>
      <w:color w:val="000000"/>
      <w:sz w:val="20"/>
      <w:szCs w:val="20"/>
      <w:u w:val="none"/>
    </w:rPr>
  </w:style>
  <w:style w:type="character" w:customStyle="1" w:styleId="29">
    <w:name w:val="font51"/>
    <w:basedOn w:val="19"/>
    <w:qFormat/>
    <w:uiPriority w:val="0"/>
    <w:rPr>
      <w:rFonts w:hint="eastAsia" w:ascii="宋体" w:hAnsi="宋体" w:eastAsia="宋体" w:cs="宋体"/>
      <w:color w:val="FF0000"/>
      <w:sz w:val="20"/>
      <w:szCs w:val="20"/>
      <w:u w:val="none"/>
    </w:rPr>
  </w:style>
  <w:style w:type="paragraph" w:customStyle="1" w:styleId="30">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1">
    <w:name w:val="font01"/>
    <w:basedOn w:val="19"/>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5100</Words>
  <Characters>5328</Characters>
  <Lines>0</Lines>
  <Paragraphs>0</Paragraphs>
  <TotalTime>9</TotalTime>
  <ScaleCrop>false</ScaleCrop>
  <LinksUpToDate>false</LinksUpToDate>
  <CharactersWithSpaces>6193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cp:lastPrinted>2023-07-11T01:39:00Z</cp:lastPrinted>
  <dcterms:modified xsi:type="dcterms:W3CDTF">2023-09-26T01:38:30Z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353255A48CD5429292A4850DF5EC3633_13</vt:lpwstr>
  </property>
</Properties>
</file>