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spacing w:before="240" w:beforeLines="100" w:line="360" w:lineRule="auto"/>
        <w:ind w:left="0" w:leftChars="0" w:firstLine="0" w:firstLineChars="0"/>
        <w:jc w:val="center"/>
        <w:rPr>
          <w:rFonts w:hint="default" w:ascii="宋体" w:hAnsi="宋体" w:eastAsia="宋体"/>
          <w:sz w:val="24"/>
          <w:highlight w:val="none"/>
          <w:lang w:val="en-US" w:eastAsia="zh-CN"/>
        </w:rPr>
      </w:pPr>
      <w:r>
        <w:rPr>
          <w:rFonts w:hint="eastAsia" w:ascii="黑体" w:hAnsi="黑体" w:eastAsia="黑体"/>
          <w:sz w:val="44"/>
          <w:szCs w:val="44"/>
          <w:highlight w:val="none"/>
          <w:lang w:eastAsia="zh-CN"/>
        </w:rPr>
        <w:t>刘同兴隆庄展馆提升改造项目</w:t>
      </w:r>
      <w:r>
        <w:rPr>
          <w:rFonts w:hint="eastAsia" w:ascii="黑体" w:hAnsi="黑体" w:eastAsia="黑体"/>
          <w:sz w:val="44"/>
          <w:szCs w:val="44"/>
          <w:highlight w:val="none"/>
          <w:lang w:val="en-US" w:eastAsia="zh-CN"/>
        </w:rPr>
        <w:t>监理</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7</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刘同兴隆庄展馆提升改造项目</w:t>
      </w:r>
      <w:r>
        <w:rPr>
          <w:rFonts w:hint="eastAsia" w:ascii="宋体" w:hAnsi="宋体" w:cs="宋体"/>
          <w:sz w:val="24"/>
          <w:szCs w:val="24"/>
          <w:highlight w:val="none"/>
          <w:u w:val="none"/>
          <w:lang w:val="en-US" w:eastAsia="zh-CN"/>
        </w:rPr>
        <w:t>监理</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lang w:eastAsia="zh-CN"/>
        </w:rPr>
        <w:t>刘同兴隆庄展馆提升改造项目</w:t>
      </w:r>
      <w:r>
        <w:rPr>
          <w:rFonts w:hint="eastAsia" w:ascii="宋体" w:hAnsi="宋体" w:cs="宋体"/>
          <w:sz w:val="24"/>
          <w:szCs w:val="24"/>
          <w:highlight w:val="none"/>
          <w:lang w:val="en-US" w:eastAsia="zh-CN"/>
        </w:rPr>
        <w:t>监理</w:t>
      </w:r>
    </w:p>
    <w:p>
      <w:pPr>
        <w:autoSpaceDE w:val="0"/>
        <w:autoSpaceDN w:val="0"/>
        <w:adjustRightInd w:val="0"/>
        <w:spacing w:line="360" w:lineRule="auto"/>
        <w:ind w:firstLine="480" w:firstLineChars="200"/>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肥西县三河镇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本项目位于三河古镇核心景区内，规划将原刘同兴隆庄展馆打造成沉浸式主题体验馆。项目总改造面积约700㎡。主要建设内容：1.主题设计；2.室内外景观提升改造；3.室内布展（包含但不仅限于：音乐展陈设施设备、多媒体设备、机电设备安装、智慧系统安装等）；4.古建修复（包含但不仅限于：建筑、景观等）。</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19万元（各单位报价不得超过本预算）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工程服务</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2.具有房屋建筑工程监理乙级及以上资质或工程监理综合资质；</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3.需提供两个自</w:t>
      </w:r>
      <w:r>
        <w:rPr>
          <w:rFonts w:hint="eastAsia" w:ascii="宋体" w:hAnsi="宋体"/>
          <w:sz w:val="21"/>
          <w:szCs w:val="21"/>
          <w:highlight w:val="none"/>
          <w:lang w:val="en-US" w:eastAsia="zh-CN"/>
        </w:rPr>
        <w:t>2018年1月1日以来（时间以定案表落款日期或者合同签订时间为准），</w:t>
      </w:r>
      <w:r>
        <w:rPr>
          <w:rFonts w:hint="eastAsia" w:ascii="宋体" w:hAnsi="宋体"/>
          <w:sz w:val="21"/>
          <w:szCs w:val="21"/>
          <w:highlight w:val="none"/>
        </w:rPr>
        <w:t>不低于</w:t>
      </w:r>
      <w:r>
        <w:rPr>
          <w:rFonts w:hint="eastAsia" w:ascii="宋体" w:hAnsi="宋体"/>
          <w:sz w:val="21"/>
          <w:szCs w:val="21"/>
          <w:highlight w:val="none"/>
          <w:lang w:val="en-US" w:eastAsia="zh-CN"/>
        </w:rPr>
        <w:t>500</w:t>
      </w:r>
      <w:r>
        <w:rPr>
          <w:rFonts w:hint="eastAsia" w:ascii="宋体" w:hAnsi="宋体"/>
          <w:sz w:val="21"/>
          <w:szCs w:val="21"/>
          <w:highlight w:val="none"/>
        </w:rPr>
        <w:t>万元的</w:t>
      </w:r>
      <w:r>
        <w:rPr>
          <w:rFonts w:hint="eastAsia" w:ascii="宋体" w:hAnsi="宋体"/>
          <w:sz w:val="21"/>
          <w:szCs w:val="21"/>
          <w:highlight w:val="none"/>
          <w:lang w:val="en-US" w:eastAsia="zh-CN"/>
        </w:rPr>
        <w:t>房屋建筑</w:t>
      </w:r>
      <w:r>
        <w:rPr>
          <w:rFonts w:hint="eastAsia" w:ascii="宋体" w:hAnsi="宋体"/>
          <w:sz w:val="21"/>
          <w:szCs w:val="21"/>
          <w:highlight w:val="none"/>
        </w:rPr>
        <w:t>工程</w:t>
      </w:r>
      <w:r>
        <w:rPr>
          <w:rFonts w:hint="eastAsia" w:ascii="宋体" w:hAnsi="宋体"/>
          <w:sz w:val="21"/>
          <w:szCs w:val="21"/>
          <w:highlight w:val="none"/>
          <w:lang w:val="en-US" w:eastAsia="zh-CN"/>
        </w:rPr>
        <w:t>监理业绩（提供业绩的合同或者定案表扫描件或影印件）；</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4.本项目拟任</w:t>
      </w:r>
      <w:r>
        <w:rPr>
          <w:rFonts w:hint="eastAsia"/>
          <w:highlight w:val="none"/>
          <w:lang w:val="en-US" w:eastAsia="zh-CN"/>
        </w:rPr>
        <w:t>项目总监：具有国家级注册监理工程师证书；</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24</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27</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13:00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07</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27</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下午13</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pageBreakBefore w:val="0"/>
        <w:widowControl w:val="0"/>
        <w:numPr>
          <w:ilvl w:val="0"/>
          <w:numId w:val="2"/>
        </w:numPr>
        <w:kinsoku/>
        <w:wordWrap/>
        <w:overflowPunct/>
        <w:topLinePunct w:val="0"/>
        <w:autoSpaceDE w:val="0"/>
        <w:autoSpaceDN w:val="0"/>
        <w:bidi w:val="0"/>
        <w:snapToGrid/>
        <w:spacing w:line="360" w:lineRule="auto"/>
        <w:ind w:firstLine="480"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本项目包括但不限于以下内容：刘同兴隆庄展馆提升改造项目</w:t>
      </w:r>
      <w:r>
        <w:rPr>
          <w:rFonts w:hint="eastAsia" w:asciiTheme="minorEastAsia" w:hAnsiTheme="minorEastAsia" w:eastAsiaTheme="minorEastAsia" w:cstheme="minorEastAsia"/>
          <w:kern w:val="0"/>
          <w:sz w:val="24"/>
          <w:szCs w:val="24"/>
          <w:highlight w:val="none"/>
          <w:lang w:val="en-US" w:eastAsia="zh-CN"/>
        </w:rPr>
        <w:t>监理</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sz w:val="24"/>
          <w:szCs w:val="24"/>
          <w:highlight w:val="none"/>
          <w:lang w:val="en-US" w:eastAsia="zh-CN"/>
        </w:rPr>
        <w:t>竣工验收合格后支付合同价80%，工程结算审定后支付合同价的100%。</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07</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07</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27</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3</w:t>
      </w:r>
      <w:bookmarkStart w:id="39" w:name="_GoBack"/>
      <w:bookmarkEnd w:id="39"/>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color w:val="auto"/>
          <w:sz w:val="24"/>
          <w:szCs w:val="24"/>
          <w:highlight w:val="none"/>
          <w:lang w:val="en-US" w:eastAsia="zh-CN"/>
        </w:rPr>
        <w:t>（1）必须低于拦标价；（2）必须最接近且低于所有有效投标价的算术平均值；（3）必</w:t>
      </w:r>
      <w:r>
        <w:rPr>
          <w:rFonts w:hint="eastAsia" w:hAnsi="宋体" w:cs="宋体"/>
          <w:bCs/>
          <w:sz w:val="24"/>
          <w:szCs w:val="24"/>
          <w:highlight w:val="none"/>
          <w:lang w:val="en-US" w:eastAsia="zh-CN"/>
        </w:rPr>
        <w:t>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09"/>
      <w:bookmarkStart w:id="9" w:name="_Hlt509738521"/>
    </w:p>
    <w:p>
      <w:pPr>
        <w:jc w:val="center"/>
        <w:rPr>
          <w:rFonts w:hint="eastAsia" w:ascii="宋体" w:hAnsi="宋体" w:cs="宋体"/>
          <w:b/>
          <w:sz w:val="44"/>
          <w:szCs w:val="44"/>
          <w:highlight w:val="none"/>
          <w:lang w:val="en-US" w:eastAsia="zh-CN"/>
        </w:rPr>
      </w:pPr>
      <w:r>
        <w:rPr>
          <w:rFonts w:hint="eastAsia" w:ascii="宋体" w:hAnsi="宋体" w:cs="宋体"/>
          <w:b/>
          <w:sz w:val="44"/>
          <w:szCs w:val="44"/>
          <w:highlight w:val="none"/>
          <w:lang w:val="en-US" w:eastAsia="zh-CN"/>
        </w:rPr>
        <w:t>刘同兴隆庄展馆提升改造项目监理</w:t>
      </w:r>
    </w:p>
    <w:p>
      <w:pPr>
        <w:pStyle w:val="2"/>
        <w:rPr>
          <w:rFonts w:hint="default"/>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2"/>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9360"/>
      <w:bookmarkEnd w:id="10"/>
      <w:bookmarkStart w:id="11" w:name="_Hlt509716873"/>
      <w:bookmarkEnd w:id="11"/>
      <w:bookmarkStart w:id="12" w:name="_Hlt533408916"/>
      <w:bookmarkEnd w:id="12"/>
      <w:bookmarkStart w:id="13" w:name="_Hlt519045798"/>
      <w:bookmarkEnd w:id="13"/>
      <w:bookmarkStart w:id="14" w:name="_Hlt533408409"/>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default" w:ascii="宋体" w:hAnsi="宋体" w:cs="宋体"/>
                <w:bCs/>
                <w:sz w:val="28"/>
                <w:szCs w:val="28"/>
                <w:highlight w:val="none"/>
                <w:u w:val="single"/>
                <w:lang w:val="en-US"/>
              </w:rPr>
            </w:pPr>
            <w:r>
              <w:rPr>
                <w:rFonts w:hint="eastAsia" w:ascii="宋体" w:hAnsi="宋体" w:cs="宋体"/>
                <w:bCs/>
                <w:sz w:val="36"/>
                <w:szCs w:val="36"/>
                <w:highlight w:val="none"/>
                <w:u w:val="none"/>
                <w:lang w:eastAsia="zh-CN"/>
              </w:rPr>
              <w:t>刘同兴隆庄展馆提升改造项目</w:t>
            </w:r>
            <w:r>
              <w:rPr>
                <w:rFonts w:hint="eastAsia" w:ascii="宋体" w:hAnsi="宋体" w:cs="宋体"/>
                <w:bCs/>
                <w:sz w:val="36"/>
                <w:szCs w:val="36"/>
                <w:highlight w:val="none"/>
                <w:u w:val="none"/>
                <w:lang w:val="en-US" w:eastAsia="zh-CN"/>
              </w:rPr>
              <w:t>监理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bookmarkEnd w:id="16"/>
    <w:p>
      <w:pPr>
        <w:pStyle w:val="11"/>
        <w:rPr>
          <w:rFonts w:hint="eastAsia"/>
          <w:highlight w:val="none"/>
          <w:lang w:val="en-US" w:eastAsia="zh-CN"/>
        </w:rPr>
      </w:pPr>
      <w:bookmarkStart w:id="18" w:name="_Toc6245"/>
      <w:bookmarkStart w:id="19" w:name="_Toc19990"/>
      <w:bookmarkStart w:id="20" w:name="_Toc500337339"/>
    </w:p>
    <w:p>
      <w:pPr>
        <w:pStyle w:val="2"/>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084"/>
      <w:bookmarkStart w:id="22" w:name="_Toc535241227"/>
      <w:bookmarkStart w:id="23" w:name="_Toc535241130"/>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none"/>
        </w:rPr>
        <w:t xml:space="preserve"> </w:t>
      </w:r>
      <w:r>
        <w:rPr>
          <w:rFonts w:hint="eastAsia" w:ascii="宋体" w:hAnsi="宋体" w:cs="宋体"/>
          <w:sz w:val="24"/>
          <w:szCs w:val="24"/>
          <w:highlight w:val="none"/>
          <w:u w:val="single"/>
          <w:lang w:eastAsia="zh-CN"/>
        </w:rPr>
        <w:t>刘同兴隆庄展馆提升改造项目</w:t>
      </w:r>
      <w:r>
        <w:rPr>
          <w:rFonts w:hint="eastAsia" w:ascii="宋体" w:hAnsi="宋体" w:cs="宋体"/>
          <w:sz w:val="24"/>
          <w:szCs w:val="24"/>
          <w:highlight w:val="none"/>
          <w:u w:val="single"/>
          <w:lang w:val="en-US" w:eastAsia="zh-CN"/>
        </w:rPr>
        <w:t>监理</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2"/>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26965"/>
      <w:bookmarkStart w:id="32" w:name="_Toc220232402"/>
      <w:bookmarkStart w:id="33" w:name="_Toc51696910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500337346"/>
      <w:bookmarkStart w:id="37" w:name="_Toc17338"/>
      <w:bookmarkStart w:id="38" w:name="_Toc220232403"/>
    </w:p>
    <w:p>
      <w:pPr>
        <w:pStyle w:val="2"/>
        <w:rPr>
          <w:rFonts w:hint="eastAsia" w:hAnsi="宋体" w:cs="宋体"/>
          <w:sz w:val="28"/>
          <w:szCs w:val="28"/>
          <w:highlight w:val="none"/>
          <w:lang w:val="en-US" w:eastAsia="zh-CN"/>
        </w:rPr>
      </w:pPr>
    </w:p>
    <w:p>
      <w:pPr>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1B3A0B"/>
    <w:rsid w:val="009B7CF9"/>
    <w:rsid w:val="03911466"/>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23A62190"/>
    <w:rsid w:val="23E028CC"/>
    <w:rsid w:val="26356BAE"/>
    <w:rsid w:val="290D27BA"/>
    <w:rsid w:val="292559B5"/>
    <w:rsid w:val="2BB71AA6"/>
    <w:rsid w:val="2D3A48A4"/>
    <w:rsid w:val="2D9537AF"/>
    <w:rsid w:val="30DE4562"/>
    <w:rsid w:val="39AB1468"/>
    <w:rsid w:val="3A587E8F"/>
    <w:rsid w:val="3C72614E"/>
    <w:rsid w:val="3E1901BE"/>
    <w:rsid w:val="403C5749"/>
    <w:rsid w:val="4374368A"/>
    <w:rsid w:val="449E1DC3"/>
    <w:rsid w:val="47C040BF"/>
    <w:rsid w:val="48044450"/>
    <w:rsid w:val="48536283"/>
    <w:rsid w:val="48811DCD"/>
    <w:rsid w:val="4A2000F0"/>
    <w:rsid w:val="4A7D1684"/>
    <w:rsid w:val="4C113543"/>
    <w:rsid w:val="4DD50B0D"/>
    <w:rsid w:val="4EB85956"/>
    <w:rsid w:val="54A70F6B"/>
    <w:rsid w:val="567F608E"/>
    <w:rsid w:val="56AC378C"/>
    <w:rsid w:val="57D87E20"/>
    <w:rsid w:val="5C0629E9"/>
    <w:rsid w:val="5CFE5FDA"/>
    <w:rsid w:val="60A14592"/>
    <w:rsid w:val="64A5505E"/>
    <w:rsid w:val="6597619F"/>
    <w:rsid w:val="6608232F"/>
    <w:rsid w:val="66EF67B7"/>
    <w:rsid w:val="68816AA3"/>
    <w:rsid w:val="6D147674"/>
    <w:rsid w:val="6D9A2DFC"/>
    <w:rsid w:val="7135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4194</Words>
  <Characters>4376</Characters>
  <Lines>0</Lines>
  <Paragraphs>0</Paragraphs>
  <TotalTime>5</TotalTime>
  <ScaleCrop>false</ScaleCrop>
  <LinksUpToDate>false</LinksUpToDate>
  <CharactersWithSpaces>5247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2023-07-25T00:36:47Z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A6AD608AB6A5492EB3A4CD3F3F85539B_13</vt:lpwstr>
  </property>
</Properties>
</file>