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肥西县城关地区 30 座公交候车亭</w:t>
      </w:r>
    </w:p>
    <w:p>
      <w:pPr>
        <w:pStyle w:val="5"/>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设计项目</w:t>
      </w:r>
    </w:p>
    <w:p>
      <w:pPr>
        <w:pStyle w:val="5"/>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5"/>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5"/>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5"/>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2"/>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eastAsia="zh-CN"/>
        </w:rPr>
        <w:t>6</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5"/>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CN"/>
        </w:rPr>
        <w:t>肥西县城关地区 30 座公交候车亭设计项目</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肥西县城关地区 30 座公交候车亭设计项目</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default" w:ascii="宋体" w:hAnsi="宋体" w:cs="宋体"/>
          <w:sz w:val="24"/>
          <w:szCs w:val="24"/>
          <w:highlight w:val="none"/>
          <w:lang w:val="en-US"/>
        </w:rPr>
        <w:t>人民路、紫石路 (天海)</w:t>
      </w:r>
      <w:bookmarkStart w:id="38" w:name="_GoBack"/>
      <w:bookmarkEnd w:id="38"/>
      <w:r>
        <w:rPr>
          <w:rFonts w:hint="default" w:ascii="宋体" w:hAnsi="宋体" w:cs="宋体"/>
          <w:sz w:val="24"/>
          <w:szCs w:val="24"/>
          <w:highlight w:val="none"/>
          <w:lang w:val="en-US"/>
        </w:rPr>
        <w:t>、青龙路、灯塔路、三河镇。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rPr>
        <w:t>4.项目</w:t>
      </w:r>
      <w:r>
        <w:rPr>
          <w:rFonts w:hint="eastAsia" w:ascii="宋体" w:hAnsi="宋体" w:cs="宋体"/>
          <w:sz w:val="24"/>
          <w:szCs w:val="24"/>
          <w:highlight w:val="yellow"/>
          <w:lang w:val="en-US" w:eastAsia="zh-CN"/>
        </w:rPr>
        <w:t>概况： 本项目在肥西县人民路、紫石路(天海)青龙路、灯塔路、三河镇区域建设亿力机械、肥西党校、上派中学、四十埠社区等建设总计 36 座公交站亭，主要建设内容为公交湾改造公交站台区域硬化和智能候车亭、站牌灯牌安装等。</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招标范围：招标范围：红线范围内的全部设计、审图及概算、预算（即清单控制价）编制，具体内容包括：1、项目建议书；2、施工图设计及预算。</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 xml:space="preserve"> 其它服务内容包括：1、本项目总投资27万元，限额设计；2、设计全过程所有审批环节的论证、评审、评估工作（含发生的所有费用）；3、施工过程中的设计服务，直至项目竣工验收合格整体移交。</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yellow"/>
          <w:lang w:val="en-US" w:eastAsia="zh-CN"/>
        </w:rPr>
        <w:t>项目总工期为40天，</w:t>
      </w:r>
      <w:r>
        <w:rPr>
          <w:rFonts w:hint="eastAsia" w:ascii="宋体" w:hAnsi="宋体" w:eastAsia="宋体" w:cs="宋体"/>
          <w:sz w:val="24"/>
          <w:szCs w:val="24"/>
          <w:highlight w:val="yellow"/>
          <w:lang w:val="en-US" w:eastAsia="zh-CN"/>
        </w:rPr>
        <w:t>方案设计</w:t>
      </w:r>
      <w:r>
        <w:rPr>
          <w:rFonts w:hint="eastAsia" w:ascii="宋体" w:hAnsi="宋体" w:cs="宋体"/>
          <w:sz w:val="24"/>
          <w:szCs w:val="24"/>
          <w:highlight w:val="yellow"/>
          <w:lang w:val="en-US" w:eastAsia="zh-CN"/>
        </w:rPr>
        <w:t>10</w:t>
      </w:r>
      <w:r>
        <w:rPr>
          <w:rFonts w:hint="eastAsia" w:ascii="宋体" w:hAnsi="宋体" w:eastAsia="宋体" w:cs="宋体"/>
          <w:sz w:val="24"/>
          <w:szCs w:val="24"/>
          <w:highlight w:val="yellow"/>
          <w:lang w:val="en-US" w:eastAsia="zh-CN"/>
        </w:rPr>
        <w:t>天，施工图设计（含取得审图及消防协审合格证）</w:t>
      </w:r>
      <w:r>
        <w:rPr>
          <w:rFonts w:hint="eastAsia" w:ascii="宋体" w:hAnsi="宋体" w:cs="宋体"/>
          <w:sz w:val="24"/>
          <w:szCs w:val="24"/>
          <w:highlight w:val="yellow"/>
          <w:lang w:val="en-US" w:eastAsia="zh-CN"/>
        </w:rPr>
        <w:t>30</w:t>
      </w:r>
      <w:r>
        <w:rPr>
          <w:rFonts w:hint="eastAsia" w:ascii="宋体" w:hAnsi="宋体" w:eastAsia="宋体" w:cs="宋体"/>
          <w:sz w:val="24"/>
          <w:szCs w:val="24"/>
          <w:highlight w:val="yellow"/>
          <w:lang w:val="en-US" w:eastAsia="zh-CN"/>
        </w:rPr>
        <w:t xml:space="preserve"> 天。</w:t>
      </w:r>
    </w:p>
    <w:p>
      <w:pPr>
        <w:numPr>
          <w:ilvl w:val="0"/>
          <w:numId w:val="1"/>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27万元（各单位报价不得超过本预算）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w:t>
      </w:r>
      <w:r>
        <w:rPr>
          <w:rFonts w:hint="eastAsia" w:ascii="宋体" w:hAnsi="宋体" w:cs="宋体"/>
          <w:sz w:val="24"/>
          <w:szCs w:val="24"/>
          <w:highlight w:val="none"/>
          <w:lang w:val="en-US" w:eastAsia="zh-CN"/>
        </w:rPr>
        <w:t>要求</w:t>
      </w:r>
      <w:r>
        <w:rPr>
          <w:rFonts w:hint="eastAsia" w:ascii="宋体" w:hAnsi="宋体" w:eastAsia="宋体" w:cs="宋体"/>
          <w:sz w:val="24"/>
          <w:szCs w:val="24"/>
          <w:highlight w:val="none"/>
          <w:lang w:val="en-US" w:eastAsia="zh-CN"/>
        </w:rPr>
        <w:t>：满足下列条件之一：①工程设计综合甲级资质；②市政行业乙级及以上设计资质；③市政行业（道路工程和排水工程）专业乙级及以上设计资质</w:t>
      </w:r>
      <w:r>
        <w:rPr>
          <w:rFonts w:hint="eastAsia" w:ascii="宋体" w:hAnsi="宋体" w:cs="宋体"/>
          <w:sz w:val="24"/>
          <w:szCs w:val="24"/>
          <w:highlight w:val="none"/>
          <w:lang w:val="en-US" w:eastAsia="zh-CN"/>
        </w:rPr>
        <w:t>。</w:t>
      </w:r>
    </w:p>
    <w:p>
      <w:pPr>
        <w:spacing w:line="360" w:lineRule="auto"/>
        <w:ind w:firstLine="480" w:firstLineChars="200"/>
        <w:rPr>
          <w:rFonts w:hint="eastAsia" w:ascii="宋体" w:hAnsi="宋体" w:eastAsia="宋体" w:cs="宋体"/>
          <w:sz w:val="24"/>
          <w:szCs w:val="24"/>
          <w:highlight w:val="yellow"/>
        </w:rPr>
      </w:pPr>
      <w:r>
        <w:rPr>
          <w:rFonts w:hint="eastAsia" w:ascii="宋体" w:hAnsi="宋体" w:cs="宋体"/>
          <w:sz w:val="24"/>
          <w:szCs w:val="24"/>
          <w:highlight w:val="yellow"/>
          <w:lang w:val="en-US" w:eastAsia="zh-CN"/>
        </w:rPr>
        <w:t>4</w:t>
      </w:r>
      <w:r>
        <w:rPr>
          <w:rFonts w:hint="eastAsia" w:ascii="宋体" w:hAnsi="宋体" w:eastAsia="宋体" w:cs="宋体"/>
          <w:sz w:val="24"/>
          <w:szCs w:val="24"/>
          <w:highlight w:val="yellow"/>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2"/>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br w:type="page"/>
      </w:r>
    </w:p>
    <w:p>
      <w:pPr>
        <w:pStyle w:val="5"/>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bookmarkStart w:id="1" w:name="_Toc220232390"/>
      <w:bookmarkStart w:id="2" w:name="_Toc20903"/>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肥西县城关地区 30 座公交候车亭设计项目</w:t>
      </w:r>
      <w:r>
        <w:rPr>
          <w:rFonts w:hint="eastAsia" w:ascii="宋体" w:hAnsi="宋体" w:cs="宋体"/>
          <w:sz w:val="24"/>
          <w:szCs w:val="24"/>
          <w:highlight w:val="none"/>
          <w:lang w:val="en-US" w:eastAsia="zh-CN"/>
        </w:rPr>
        <w:t>，</w:t>
      </w:r>
      <w:r>
        <w:rPr>
          <w:rFonts w:hint="eastAsia" w:ascii="宋体" w:hAnsi="宋体" w:cs="宋体"/>
          <w:sz w:val="24"/>
          <w:szCs w:val="24"/>
          <w:highlight w:val="yellow"/>
          <w:lang w:val="en-US" w:eastAsia="zh-CN"/>
        </w:rPr>
        <w:t xml:space="preserve"> 本项目在肥西县人民路、紫石路(天海)青龙路、灯塔路、三河镇区域建设亿力机械、肥西党校、上派中学、四十埠社区等建设总计 36 座公交站亭,主要建设内容为公交湾改造公交站台区域硬化和智能候车亭、站牌灯牌安装等。</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招标范围：招标范围：红线范围内的全部设计、审图及概算、预算（即清单控制价）编制，具体内容包括：1、项目建议书；2、施工图设计及预算。</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 xml:space="preserve"> 其它服务内容包括：1、本项目总投资27万元，限额设计；2、设计全过程所有审批环节的论证、评审、评估工作（含发生的所有费用）；3、施工过程中的设计服务，直至项目竣工验收合格整体移交。</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yellow"/>
          <w:lang w:val="en-US" w:eastAsia="zh-CN"/>
        </w:rPr>
        <w:t>项目总工期为40天，</w:t>
      </w:r>
      <w:r>
        <w:rPr>
          <w:rFonts w:hint="eastAsia" w:ascii="宋体" w:hAnsi="宋体" w:eastAsia="宋体" w:cs="宋体"/>
          <w:sz w:val="24"/>
          <w:szCs w:val="24"/>
          <w:highlight w:val="yellow"/>
          <w:lang w:val="en-US" w:eastAsia="zh-CN"/>
        </w:rPr>
        <w:t>方案设计</w:t>
      </w:r>
      <w:r>
        <w:rPr>
          <w:rFonts w:hint="eastAsia" w:ascii="宋体" w:hAnsi="宋体" w:cs="宋体"/>
          <w:sz w:val="24"/>
          <w:szCs w:val="24"/>
          <w:highlight w:val="yellow"/>
          <w:lang w:val="en-US" w:eastAsia="zh-CN"/>
        </w:rPr>
        <w:t>10</w:t>
      </w:r>
      <w:r>
        <w:rPr>
          <w:rFonts w:hint="eastAsia" w:ascii="宋体" w:hAnsi="宋体" w:eastAsia="宋体" w:cs="宋体"/>
          <w:sz w:val="24"/>
          <w:szCs w:val="24"/>
          <w:highlight w:val="yellow"/>
          <w:lang w:val="en-US" w:eastAsia="zh-CN"/>
        </w:rPr>
        <w:t>天，施工图设计（含取得审图及消防协审合格证）</w:t>
      </w:r>
      <w:r>
        <w:rPr>
          <w:rFonts w:hint="eastAsia" w:ascii="宋体" w:hAnsi="宋体" w:cs="宋体"/>
          <w:sz w:val="24"/>
          <w:szCs w:val="24"/>
          <w:highlight w:val="yellow"/>
          <w:lang w:val="en-US" w:eastAsia="zh-CN"/>
        </w:rPr>
        <w:t>30</w:t>
      </w:r>
      <w:r>
        <w:rPr>
          <w:rFonts w:hint="eastAsia" w:ascii="宋体" w:hAnsi="宋体" w:eastAsia="宋体" w:cs="宋体"/>
          <w:sz w:val="24"/>
          <w:szCs w:val="24"/>
          <w:highlight w:val="yellow"/>
          <w:lang w:val="en-US" w:eastAsia="zh-CN"/>
        </w:rPr>
        <w:t xml:space="preserve"> 天。</w:t>
      </w:r>
    </w:p>
    <w:p>
      <w:pPr>
        <w:pageBreakBefore w:val="0"/>
        <w:widowControl w:val="0"/>
        <w:numPr>
          <w:ilvl w:val="0"/>
          <w:numId w:val="0"/>
        </w:numPr>
        <w:kinsoku/>
        <w:wordWrap/>
        <w:overflowPunct/>
        <w:topLinePunct w:val="0"/>
        <w:autoSpaceDE w:val="0"/>
        <w:autoSpaceDN w:val="0"/>
        <w:bidi w:val="0"/>
        <w:snapToGrid/>
        <w:spacing w:line="360" w:lineRule="auto"/>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付款方式：第一次：施工图审查合格并取得审图合格证后支付至设计费用的50%；第二次：项目竣工验收合格后支付至设计费用的80%；第三次:工程结算审定且竣工备案移交完成后，无息支付剩余设计费。</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b/>
          <w:bCs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bCs/>
          <w:i w:val="0"/>
          <w:caps w:val="0"/>
          <w:color w:val="000000"/>
          <w:spacing w:val="0"/>
          <w:w w:val="100"/>
          <w:kern w:val="0"/>
          <w:sz w:val="24"/>
          <w:szCs w:val="24"/>
          <w:highlight w:val="none"/>
          <w:lang w:val="en-US" w:eastAsia="zh-CN" w:bidi="ar-SA"/>
        </w:rPr>
        <w:t>2023年06月1</w:t>
      </w:r>
      <w:r>
        <w:rPr>
          <w:rStyle w:val="20"/>
          <w:rFonts w:hint="eastAsia" w:ascii="宋体" w:hAnsi="宋体"/>
          <w:b w:val="0"/>
          <w:bCs/>
          <w:i w:val="0"/>
          <w:caps w:val="0"/>
          <w:color w:val="000000"/>
          <w:spacing w:val="0"/>
          <w:w w:val="100"/>
          <w:kern w:val="0"/>
          <w:sz w:val="24"/>
          <w:szCs w:val="24"/>
          <w:highlight w:val="none"/>
          <w:lang w:val="en-US" w:eastAsia="zh-CN" w:bidi="ar-SA"/>
        </w:rPr>
        <w:t>5</w:t>
      </w:r>
      <w:r>
        <w:rPr>
          <w:rStyle w:val="20"/>
          <w:rFonts w:hint="eastAsia" w:ascii="宋体" w:hAnsi="宋体" w:eastAsia="宋体"/>
          <w:b w:val="0"/>
          <w:bCs/>
          <w:i w:val="0"/>
          <w:caps w:val="0"/>
          <w:color w:val="000000"/>
          <w:spacing w:val="0"/>
          <w:w w:val="100"/>
          <w:kern w:val="0"/>
          <w:sz w:val="24"/>
          <w:szCs w:val="24"/>
          <w:highlight w:val="none"/>
          <w:lang w:val="en-US" w:eastAsia="zh-CN" w:bidi="ar-SA"/>
        </w:rPr>
        <w:t>日-2023年06月</w:t>
      </w:r>
      <w:r>
        <w:rPr>
          <w:rStyle w:val="20"/>
          <w:rFonts w:hint="eastAsia" w:ascii="宋体" w:hAnsi="宋体"/>
          <w:b w:val="0"/>
          <w:bCs/>
          <w:i w:val="0"/>
          <w:caps w:val="0"/>
          <w:color w:val="000000"/>
          <w:spacing w:val="0"/>
          <w:w w:val="100"/>
          <w:kern w:val="0"/>
          <w:sz w:val="24"/>
          <w:szCs w:val="24"/>
          <w:highlight w:val="none"/>
          <w:lang w:val="en-US" w:eastAsia="zh-CN" w:bidi="ar-SA"/>
        </w:rPr>
        <w:t>20</w:t>
      </w:r>
      <w:r>
        <w:rPr>
          <w:rStyle w:val="20"/>
          <w:rFonts w:hint="eastAsia" w:ascii="宋体" w:hAnsi="宋体" w:eastAsia="宋体"/>
          <w:b w:val="0"/>
          <w:bCs/>
          <w:i w:val="0"/>
          <w:caps w:val="0"/>
          <w:color w:val="000000"/>
          <w:spacing w:val="0"/>
          <w:w w:val="100"/>
          <w:kern w:val="0"/>
          <w:sz w:val="24"/>
          <w:szCs w:val="24"/>
          <w:highlight w:val="none"/>
          <w:lang w:val="en-US" w:eastAsia="zh-CN" w:bidi="ar-SA"/>
        </w:rPr>
        <w:t>日12:00</w:t>
      </w:r>
      <w:r>
        <w:rPr>
          <w:rFonts w:hint="eastAsia" w:asciiTheme="minorEastAsia" w:hAnsiTheme="minorEastAsia" w:eastAsiaTheme="minorEastAsia" w:cstheme="minorEastAsia"/>
          <w:b w:val="0"/>
          <w:bCs w:val="0"/>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0"/>
          <w:rFonts w:hint="eastAsia" w:ascii="宋体" w:hAnsi="宋体"/>
          <w:b/>
          <w:bCs w:val="0"/>
          <w:i w:val="0"/>
          <w:caps w:val="0"/>
          <w:color w:val="auto"/>
          <w:spacing w:val="0"/>
          <w:w w:val="100"/>
          <w:kern w:val="0"/>
          <w:sz w:val="24"/>
          <w:szCs w:val="24"/>
          <w:highlight w:val="none"/>
          <w:u w:val="none"/>
          <w:lang w:val="en-US" w:eastAsia="zh-CN" w:bidi="ar-SA"/>
        </w:rPr>
      </w:pPr>
      <w:r>
        <w:rPr>
          <w:rStyle w:val="20"/>
          <w:rFonts w:hint="eastAsia" w:ascii="宋体" w:hAnsi="宋体"/>
          <w:b/>
          <w:bCs w:val="0"/>
          <w:i w:val="0"/>
          <w:caps w:val="0"/>
          <w:color w:val="auto"/>
          <w:spacing w:val="0"/>
          <w:w w:val="100"/>
          <w:kern w:val="0"/>
          <w:sz w:val="24"/>
          <w:szCs w:val="24"/>
          <w:highlight w:val="none"/>
          <w:u w:val="none"/>
          <w:lang w:val="en-US" w:eastAsia="zh-CN" w:bidi="ar-SA"/>
        </w:rPr>
        <w:br w:type="page"/>
      </w:r>
    </w:p>
    <w:p>
      <w:pPr>
        <w:pStyle w:val="5"/>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本项目定价27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val="0"/>
        <w:keepLines w:val="0"/>
        <w:pageBreakBefore w:val="0"/>
        <w:widowControl w:val="0"/>
        <w:numPr>
          <w:numId w:val="0"/>
        </w:numPr>
        <w:kinsoku/>
        <w:wordWrap/>
        <w:overflowPunct/>
        <w:topLinePunct w:val="0"/>
        <w:autoSpaceDE/>
        <w:autoSpaceDN/>
        <w:bidi w:val="0"/>
        <w:adjustRightInd w:val="0"/>
        <w:snapToGrid w:val="0"/>
        <w:spacing w:before="260" w:after="260" w:line="360" w:lineRule="auto"/>
        <w:ind w:right="0" w:rightChars="0"/>
        <w:textAlignment w:val="auto"/>
        <w:rPr>
          <w:rFonts w:hint="eastAsia"/>
          <w:lang w:val="en-US" w:eastAsia="zh-CN"/>
        </w:rPr>
      </w:pPr>
      <w:r>
        <w:rPr>
          <w:rFonts w:hint="eastAsia" w:ascii="宋体" w:hAnsi="宋体" w:cs="宋体"/>
          <w:bCs/>
          <w:sz w:val="24"/>
          <w:szCs w:val="24"/>
          <w:highlight w:val="none"/>
          <w:lang w:val="en-US" w:eastAsia="zh-CN"/>
        </w:rPr>
        <w:t>5、对通过初审的单位进行详细评审</w:t>
      </w:r>
    </w:p>
    <w:tbl>
      <w:tblPr>
        <w:tblStyle w:val="1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7"/>
        <w:gridCol w:w="743"/>
        <w:gridCol w:w="649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6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73"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1</w:t>
            </w:r>
            <w:r>
              <w:rPr>
                <w:szCs w:val="21"/>
              </w:rPr>
              <w:t>2</w:t>
            </w:r>
            <w:r>
              <w:rPr>
                <w:rFonts w:hint="eastAsia"/>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sz w:val="21"/>
                <w:szCs w:val="21"/>
                <w:highlight w:val="none"/>
                <w:lang w:val="en-US" w:eastAsia="zh-CN"/>
              </w:rPr>
            </w:pPr>
            <w:r>
              <w:rPr>
                <w:rFonts w:hint="eastAsia" w:ascii="宋体" w:hAnsi="宋体"/>
                <w:kern w:val="0"/>
                <w:szCs w:val="21"/>
                <w:highlight w:val="none"/>
                <w:lang w:eastAsia="zh-CN"/>
              </w:rPr>
              <w:t>参审单位</w:t>
            </w:r>
            <w:r>
              <w:rPr>
                <w:rFonts w:hint="eastAsia" w:ascii="宋体" w:hAnsi="宋体"/>
                <w:sz w:val="21"/>
                <w:szCs w:val="21"/>
                <w:highlight w:val="none"/>
                <w:lang w:val="en-US" w:eastAsia="zh-CN"/>
              </w:rPr>
              <w:t>1、2018年1月1日以来（时间以合同签订时间为准），具有投资额</w:t>
            </w:r>
            <w:r>
              <w:rPr>
                <w:rFonts w:hint="eastAsia" w:ascii="宋体" w:hAnsi="宋体"/>
                <w:sz w:val="21"/>
                <w:szCs w:val="21"/>
                <w:highlight w:val="none"/>
              </w:rPr>
              <w:t>不低于</w:t>
            </w:r>
            <w:r>
              <w:rPr>
                <w:rFonts w:hint="eastAsia" w:ascii="宋体" w:hAnsi="宋体"/>
                <w:sz w:val="21"/>
                <w:szCs w:val="21"/>
                <w:highlight w:val="none"/>
                <w:lang w:val="en-US" w:eastAsia="zh-CN"/>
              </w:rPr>
              <w:t>1000</w:t>
            </w:r>
            <w:r>
              <w:rPr>
                <w:rFonts w:hint="eastAsia" w:ascii="宋体" w:hAnsi="宋体"/>
                <w:sz w:val="21"/>
                <w:szCs w:val="21"/>
                <w:highlight w:val="none"/>
              </w:rPr>
              <w:t>万元的</w:t>
            </w:r>
            <w:r>
              <w:rPr>
                <w:rFonts w:hint="eastAsia" w:ascii="宋体" w:hAnsi="宋体"/>
                <w:sz w:val="21"/>
                <w:szCs w:val="21"/>
                <w:highlight w:val="none"/>
                <w:lang w:val="en-US" w:eastAsia="zh-CN"/>
              </w:rPr>
              <w:t>建筑</w:t>
            </w:r>
            <w:r>
              <w:rPr>
                <w:rFonts w:hint="eastAsia" w:ascii="宋体" w:hAnsi="宋体"/>
                <w:sz w:val="21"/>
                <w:szCs w:val="21"/>
                <w:highlight w:val="none"/>
              </w:rPr>
              <w:t>工程</w:t>
            </w:r>
            <w:r>
              <w:rPr>
                <w:rFonts w:hint="eastAsia" w:ascii="宋体" w:hAnsi="宋体"/>
                <w:sz w:val="21"/>
                <w:szCs w:val="21"/>
                <w:highlight w:val="none"/>
                <w:lang w:val="en-US" w:eastAsia="zh-CN"/>
              </w:rPr>
              <w:t>设计业绩。每个得6分，满分12分。</w:t>
            </w:r>
          </w:p>
          <w:p>
            <w:pPr>
              <w:jc w:val="left"/>
              <w:textAlignment w:val="baseline"/>
              <w:rPr>
                <w:highlight w:val="yellow"/>
              </w:rPr>
            </w:pPr>
            <w:r>
              <w:rPr>
                <w:rFonts w:hint="eastAsia" w:ascii="宋体" w:hAnsi="宋体"/>
                <w:sz w:val="21"/>
                <w:szCs w:val="21"/>
                <w:highlight w:val="none"/>
                <w:lang w:val="en-US" w:eastAsia="zh-CN"/>
              </w:rPr>
              <w:t>备注：</w:t>
            </w:r>
            <w:r>
              <w:rPr>
                <w:rFonts w:hint="eastAsia" w:hAnsi="宋体"/>
                <w:kern w:val="0"/>
                <w:sz w:val="21"/>
                <w:szCs w:val="21"/>
                <w:highlight w:val="yellow"/>
              </w:rPr>
              <w:t>（注：本项中涉及的项目指201</w:t>
            </w:r>
            <w:r>
              <w:rPr>
                <w:rFonts w:hint="eastAsia" w:hAnsi="宋体"/>
                <w:kern w:val="0"/>
                <w:sz w:val="21"/>
                <w:szCs w:val="21"/>
                <w:highlight w:val="yellow"/>
                <w:lang w:val="en-US" w:eastAsia="zh-CN"/>
              </w:rPr>
              <w:t>8</w:t>
            </w:r>
            <w:r>
              <w:rPr>
                <w:rFonts w:hint="eastAsia" w:hAnsi="宋体"/>
                <w:kern w:val="0"/>
                <w:sz w:val="21"/>
                <w:szCs w:val="21"/>
                <w:highlight w:val="yellow"/>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信用分</w:t>
            </w:r>
          </w:p>
        </w:tc>
        <w:tc>
          <w:tcPr>
            <w:tcW w:w="373"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ascii="宋体" w:hAnsi="宋体"/>
                <w:szCs w:val="21"/>
              </w:rPr>
              <w:t>8</w:t>
            </w:r>
            <w:r>
              <w:rPr>
                <w:rFonts w:hint="eastAsia" w:ascii="宋体" w:hAnsi="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eastAsia"/>
                <w:highlight w:val="yellow"/>
                <w:lang w:eastAsia="zh-CN"/>
              </w:rPr>
            </w:pPr>
            <w:r>
              <w:rPr>
                <w:rFonts w:hint="eastAsia"/>
                <w:highlight w:val="yellow"/>
                <w:lang w:eastAsia="zh-CN"/>
              </w:rPr>
              <w:t>1、投标人获得合肥市勘察设计企业信用评价结果建筑工程设计企业信用等级情况:</w:t>
            </w:r>
          </w:p>
          <w:p>
            <w:pPr>
              <w:widowControl/>
              <w:spacing w:line="360" w:lineRule="auto"/>
              <w:jc w:val="left"/>
              <w:rPr>
                <w:rFonts w:hint="eastAsia"/>
                <w:highlight w:val="yellow"/>
                <w:lang w:eastAsia="zh-CN"/>
              </w:rPr>
            </w:pPr>
            <w:r>
              <w:rPr>
                <w:rFonts w:hint="eastAsia"/>
                <w:highlight w:val="yellow"/>
                <w:lang w:eastAsia="zh-CN"/>
              </w:rPr>
              <w:t xml:space="preserve">A 级的，得 </w:t>
            </w:r>
            <w:r>
              <w:rPr>
                <w:rFonts w:hint="eastAsia"/>
                <w:highlight w:val="yellow"/>
                <w:lang w:val="en-US" w:eastAsia="zh-CN"/>
              </w:rPr>
              <w:t>8</w:t>
            </w:r>
            <w:r>
              <w:rPr>
                <w:rFonts w:hint="eastAsia"/>
                <w:highlight w:val="yellow"/>
                <w:lang w:eastAsia="zh-CN"/>
              </w:rPr>
              <w:t>分;</w:t>
            </w:r>
          </w:p>
          <w:p>
            <w:pPr>
              <w:widowControl/>
              <w:spacing w:line="360" w:lineRule="auto"/>
              <w:jc w:val="left"/>
              <w:rPr>
                <w:rFonts w:hint="eastAsia"/>
                <w:highlight w:val="yellow"/>
                <w:lang w:eastAsia="zh-CN"/>
              </w:rPr>
            </w:pPr>
            <w:r>
              <w:rPr>
                <w:rFonts w:hint="eastAsia"/>
                <w:highlight w:val="yellow"/>
                <w:lang w:eastAsia="zh-CN"/>
              </w:rPr>
              <w:t>B 级的，得</w:t>
            </w:r>
            <w:r>
              <w:rPr>
                <w:rFonts w:hint="eastAsia"/>
                <w:highlight w:val="yellow"/>
                <w:lang w:val="en-US" w:eastAsia="zh-CN"/>
              </w:rPr>
              <w:t>4</w:t>
            </w:r>
            <w:r>
              <w:rPr>
                <w:rFonts w:hint="eastAsia"/>
                <w:highlight w:val="yellow"/>
                <w:lang w:eastAsia="zh-CN"/>
              </w:rPr>
              <w:t>分;</w:t>
            </w:r>
          </w:p>
          <w:p>
            <w:pPr>
              <w:widowControl/>
              <w:spacing w:line="360" w:lineRule="auto"/>
              <w:jc w:val="left"/>
              <w:rPr>
                <w:rFonts w:hint="eastAsia"/>
                <w:highlight w:val="yellow"/>
                <w:lang w:eastAsia="zh-CN"/>
              </w:rPr>
            </w:pPr>
            <w:r>
              <w:rPr>
                <w:rFonts w:hint="eastAsia"/>
                <w:highlight w:val="yellow"/>
                <w:lang w:eastAsia="zh-CN"/>
              </w:rPr>
              <w:t>其余等级或未获得信用评价等级，不得分。</w:t>
            </w:r>
          </w:p>
          <w:p>
            <w:pPr>
              <w:widowControl/>
              <w:spacing w:line="360" w:lineRule="auto"/>
              <w:jc w:val="left"/>
              <w:rPr>
                <w:rFonts w:hint="eastAsia"/>
                <w:highlight w:val="yellow"/>
                <w:lang w:eastAsia="zh-CN"/>
              </w:rPr>
            </w:pPr>
            <w:r>
              <w:rPr>
                <w:rFonts w:hint="eastAsia"/>
                <w:highlight w:val="yellow"/>
                <w:lang w:eastAsia="zh-CN"/>
              </w:rPr>
              <w:t>注: (1) 合肥市勘察设计企业信用等级评价中评价等级确认方式如下:采用投标截止时间前，合肥市城乡建设局官网发布的合肥市建筑工程设计企业或工程勘察企业信用等级综合评价结果(不含结果的公示) 最新年度的评价等级中较高等级确定。</w:t>
            </w:r>
          </w:p>
          <w:p>
            <w:pPr>
              <w:widowControl/>
              <w:spacing w:line="360" w:lineRule="auto"/>
              <w:jc w:val="left"/>
              <w:rPr>
                <w:highlight w:val="yellow"/>
              </w:rPr>
            </w:pPr>
            <w:r>
              <w:rPr>
                <w:rFonts w:hint="eastAsia"/>
                <w:highlight w:val="yellow"/>
                <w:lang w:eastAsia="zh-CN"/>
              </w:rPr>
              <w:t>(2) 投标人按照第六章投标文件格式提供信用评价等级承诺，如未提供信用评价等级承诺或提供的信用评价等级承诺与投标人实际信用不符的，不予加分，评标时评标委员会保留现场核查权利。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Cs w:val="21"/>
              </w:rPr>
            </w:pPr>
            <w:r>
              <w:rPr>
                <w:rFonts w:hint="eastAsia" w:ascii="宋体" w:hAnsi="宋体" w:cs="宋体"/>
                <w:szCs w:val="21"/>
              </w:rPr>
              <w:t>项目负责人</w:t>
            </w:r>
            <w:r>
              <w:rPr>
                <w:rFonts w:hint="eastAsia" w:ascii="宋体" w:hAnsi="宋体" w:cs="宋体"/>
                <w:szCs w:val="21"/>
                <w:lang w:eastAsia="zh-CN"/>
              </w:rPr>
              <w:t>证书及</w:t>
            </w:r>
            <w:r>
              <w:rPr>
                <w:rFonts w:hint="eastAsia" w:ascii="宋体" w:hAnsi="宋体" w:cs="宋体"/>
                <w:szCs w:val="21"/>
              </w:rPr>
              <w:t>业绩</w:t>
            </w: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Cs w:val="21"/>
              </w:rPr>
            </w:pPr>
            <w:r>
              <w:rPr>
                <w:rFonts w:ascii="宋体" w:hAnsi="宋体" w:cs="宋体"/>
                <w:szCs w:val="21"/>
              </w:rPr>
              <w:t>10</w:t>
            </w:r>
            <w:r>
              <w:rPr>
                <w:rFonts w:hint="eastAsia" w:ascii="宋体" w:hAnsi="宋体" w:cs="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ascii="宋体" w:hAnsi="宋体"/>
                <w:bCs/>
                <w:sz w:val="20"/>
                <w:szCs w:val="21"/>
                <w:highlight w:val="yellow"/>
              </w:rPr>
            </w:pPr>
            <w:r>
              <w:rPr>
                <w:rFonts w:hint="eastAsia" w:ascii="宋体" w:hAnsi="宋体"/>
                <w:bCs/>
                <w:szCs w:val="21"/>
                <w:highlight w:val="yellow"/>
                <w:lang w:eastAsia="zh-CN"/>
              </w:rPr>
              <w:t>参审单位</w:t>
            </w:r>
            <w:r>
              <w:rPr>
                <w:rFonts w:hint="eastAsia" w:ascii="宋体" w:hAnsi="宋体"/>
                <w:bCs/>
                <w:szCs w:val="21"/>
                <w:highlight w:val="yellow"/>
              </w:rPr>
              <w:t>为本项目配备的项目负责人：</w:t>
            </w:r>
          </w:p>
          <w:p>
            <w:pPr>
              <w:numPr>
                <w:ilvl w:val="0"/>
                <w:numId w:val="4"/>
              </w:numPr>
              <w:jc w:val="left"/>
              <w:textAlignment w:val="baseline"/>
              <w:rPr>
                <w:rFonts w:hint="eastAsia" w:ascii="宋体" w:hAnsi="宋体"/>
                <w:bCs/>
                <w:szCs w:val="21"/>
                <w:highlight w:val="yellow"/>
              </w:rPr>
            </w:pPr>
            <w:r>
              <w:rPr>
                <w:rFonts w:hint="eastAsia" w:ascii="宋体" w:hAnsi="宋体"/>
                <w:bCs/>
                <w:szCs w:val="21"/>
                <w:highlight w:val="yellow"/>
              </w:rPr>
              <w:t>项目负责人具备</w:t>
            </w:r>
            <w:r>
              <w:rPr>
                <w:rFonts w:hint="eastAsia" w:ascii="宋体" w:hAnsi="宋体"/>
                <w:bCs/>
                <w:szCs w:val="21"/>
                <w:highlight w:val="yellow"/>
                <w:lang w:eastAsia="zh-CN"/>
              </w:rPr>
              <w:t>正</w:t>
            </w:r>
            <w:r>
              <w:rPr>
                <w:rFonts w:hint="eastAsia" w:ascii="宋体" w:hAnsi="宋体"/>
                <w:bCs/>
                <w:szCs w:val="21"/>
                <w:highlight w:val="yellow"/>
              </w:rPr>
              <w:t>高级</w:t>
            </w:r>
            <w:r>
              <w:rPr>
                <w:rFonts w:hint="eastAsia" w:ascii="宋体" w:hAnsi="宋体"/>
                <w:bCs/>
                <w:szCs w:val="21"/>
                <w:highlight w:val="yellow"/>
                <w:lang w:eastAsia="zh-CN"/>
              </w:rPr>
              <w:t>工程师以上</w:t>
            </w:r>
            <w:r>
              <w:rPr>
                <w:rFonts w:hint="eastAsia" w:ascii="宋体" w:hAnsi="宋体"/>
                <w:bCs/>
                <w:szCs w:val="21"/>
                <w:highlight w:val="yellow"/>
              </w:rPr>
              <w:t>职称资格的，得</w:t>
            </w:r>
            <w:r>
              <w:rPr>
                <w:rFonts w:hint="eastAsia" w:ascii="宋体" w:hAnsi="宋体"/>
                <w:bCs/>
                <w:szCs w:val="21"/>
                <w:highlight w:val="yellow"/>
                <w:lang w:val="en-US" w:eastAsia="zh-CN"/>
              </w:rPr>
              <w:t>10</w:t>
            </w:r>
            <w:r>
              <w:rPr>
                <w:rFonts w:hint="eastAsia" w:ascii="宋体" w:hAnsi="宋体"/>
                <w:bCs/>
                <w:szCs w:val="21"/>
                <w:highlight w:val="yellow"/>
              </w:rPr>
              <w:t>分；项目负责人具备高级工程师职称资格的，得</w:t>
            </w:r>
            <w:r>
              <w:rPr>
                <w:rFonts w:hint="eastAsia" w:ascii="宋体" w:hAnsi="宋体"/>
                <w:bCs/>
                <w:szCs w:val="21"/>
                <w:highlight w:val="yellow"/>
                <w:lang w:val="en-US" w:eastAsia="zh-CN"/>
              </w:rPr>
              <w:t>5</w:t>
            </w:r>
            <w:r>
              <w:rPr>
                <w:rFonts w:hint="eastAsia" w:ascii="宋体" w:hAnsi="宋体"/>
                <w:bCs/>
                <w:szCs w:val="21"/>
                <w:highlight w:val="yellow"/>
              </w:rPr>
              <w:t>分；</w:t>
            </w:r>
          </w:p>
          <w:p>
            <w:pPr>
              <w:spacing w:line="320" w:lineRule="exact"/>
              <w:textAlignment w:val="baseline"/>
              <w:rPr>
                <w:rFonts w:ascii="宋体" w:hAnsi="宋体"/>
                <w:bCs/>
                <w:sz w:val="20"/>
                <w:szCs w:val="21"/>
                <w:highlight w:val="yellow"/>
              </w:rPr>
            </w:pPr>
            <w:r>
              <w:rPr>
                <w:rFonts w:hint="eastAsia" w:ascii="宋体" w:hAnsi="宋体"/>
                <w:bCs/>
                <w:szCs w:val="21"/>
                <w:highlight w:val="yellow"/>
              </w:rPr>
              <w:t>（注：</w:t>
            </w:r>
            <w:r>
              <w:rPr>
                <w:rFonts w:hint="eastAsia" w:ascii="宋体" w:hAnsi="宋体"/>
                <w:bCs/>
                <w:szCs w:val="21"/>
                <w:highlight w:val="yellow"/>
                <w:lang w:eastAsia="zh-CN"/>
              </w:rPr>
              <w:t>参审单位</w:t>
            </w:r>
            <w:r>
              <w:rPr>
                <w:rFonts w:hint="eastAsia" w:ascii="宋体" w:hAnsi="宋体"/>
                <w:bCs/>
                <w:szCs w:val="21"/>
                <w:highlight w:val="yellow"/>
              </w:rPr>
              <w:t>需提供项目负责人近半年内任意三个月的社保证明文件，职称证书、获奖证书扫描件）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86" w:hRule="atLeast"/>
          <w:jc w:val="center"/>
        </w:trPr>
        <w:tc>
          <w:tcPr>
            <w:tcW w:w="707"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kern w:val="0"/>
                <w:szCs w:val="21"/>
              </w:rPr>
              <w:t>70</w:t>
            </w:r>
            <w:r>
              <w:rPr>
                <w:rFonts w:hint="eastAsia"/>
                <w:kern w:val="0"/>
                <w:szCs w:val="21"/>
              </w:rPr>
              <w:t>分</w:t>
            </w:r>
          </w:p>
        </w:tc>
        <w:tc>
          <w:tcPr>
            <w:tcW w:w="661"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设计方案说明</w:t>
            </w:r>
          </w:p>
        </w:tc>
        <w:tc>
          <w:tcPr>
            <w:tcW w:w="373"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ascii="宋体" w:hAnsi="宋体"/>
                <w:szCs w:val="21"/>
              </w:rPr>
              <w:t>30</w:t>
            </w:r>
            <w:r>
              <w:rPr>
                <w:rFonts w:hint="eastAsia" w:ascii="宋体" w:hAnsi="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Cs w:val="21"/>
                <w:lang w:val="zh-CN" w:bidi="zh-CN"/>
              </w:rPr>
            </w:pPr>
            <w:r>
              <w:rPr>
                <w:rFonts w:hint="eastAsia" w:ascii="宋体" w:hAnsi="宋体"/>
                <w:bCs/>
                <w:szCs w:val="21"/>
                <w:lang w:eastAsia="zh-CN"/>
              </w:rPr>
              <w:t>参审单位</w:t>
            </w:r>
            <w:r>
              <w:t>结合对本项目的理解，进行创作思路阐述，结合效果图表现，初步方案寓意表达清晰，立意新颖，方案编制合理可行，线路清晰、准确、完整能充分反映设计意图。根据对比由评标委员会进行酌情打分，设计方案寓意表达清晰，立意新颖，方案编制合理可行，线路清晰、准确、完整能充分反映设计意图得25（含）-30分；设计方案寓意表达较清晰，立意新颖，方案编制较合理可行，线路清晰、准确、完整基本能反映设计意图得15（含）-25分；设计方案寓意表达较不清晰，方案编制合理性差、可行性差，线路无法反映设计意图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bCs/>
                <w:szCs w:val="21"/>
              </w:rPr>
            </w:pPr>
            <w:r>
              <w:rPr>
                <w:rFonts w:hint="eastAsia" w:hAnsi="宋体"/>
                <w:bCs/>
                <w:szCs w:val="21"/>
              </w:rPr>
              <w:t>设计方案的重点难点分析与解决</w:t>
            </w:r>
          </w:p>
        </w:tc>
        <w:tc>
          <w:tcPr>
            <w:tcW w:w="373"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rPr>
            </w:pPr>
            <w:r>
              <w:rPr>
                <w:rFonts w:hAnsi="宋体"/>
                <w:bCs/>
                <w:szCs w:val="21"/>
              </w:rPr>
              <w:t>2</w:t>
            </w:r>
            <w:r>
              <w:rPr>
                <w:rFonts w:hint="eastAsia" w:hAnsi="宋体"/>
                <w:bCs/>
                <w:szCs w:val="21"/>
              </w:rPr>
              <w:t>0分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Ansi="宋体"/>
                <w:bCs/>
                <w:szCs w:val="21"/>
              </w:rPr>
            </w:pPr>
            <w:r>
              <w:t>对本项目设计的重点、难点的分析全面、确切，重点突出，对策针对性强的得15(含）-20分；对本项目设计的重点、难点的分析一般，重点基本突出，对策针对性</w:t>
            </w:r>
            <w:r>
              <w:rPr>
                <w:rFonts w:hint="eastAsia"/>
              </w:rPr>
              <w:t>一般</w:t>
            </w:r>
            <w:r>
              <w:t>的得0(含）-15分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jc w:val="center"/>
        </w:trPr>
        <w:tc>
          <w:tcPr>
            <w:tcW w:w="707" w:type="pct"/>
            <w:vMerge w:val="continue"/>
            <w:tcBorders>
              <w:top w:val="single" w:color="auto" w:sz="4" w:space="0"/>
              <w:bottom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Cs w:val="21"/>
              </w:rPr>
            </w:pPr>
            <w:r>
              <w:rPr>
                <w:rFonts w:hint="eastAsia" w:ascii="宋体" w:hAnsi="宋体"/>
              </w:rPr>
              <w:t>设计质量控制</w:t>
            </w:r>
          </w:p>
        </w:tc>
        <w:tc>
          <w:tcPr>
            <w:tcW w:w="373"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Cs w:val="21"/>
              </w:rPr>
            </w:pPr>
            <w:r>
              <w:rPr>
                <w:rFonts w:ascii="宋体" w:hAnsi="宋体"/>
                <w:szCs w:val="21"/>
              </w:rPr>
              <w:t>20</w:t>
            </w:r>
            <w:r>
              <w:rPr>
                <w:rFonts w:hint="eastAsia" w:ascii="宋体" w:hAnsi="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pPr>
            <w:r>
              <w:t>根据对设计文件编制的全过程质量控制措施进行评价，质量控制措完善、可行性高得15(含）-20分；质量控制</w:t>
            </w:r>
            <w:r>
              <w:rPr>
                <w:rFonts w:hint="eastAsia"/>
              </w:rPr>
              <w:t>措施</w:t>
            </w:r>
            <w:r>
              <w:t>基本完善、可行性一般得0-15分。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adjustRightInd w:val="0"/>
        <w:snapToGrid w:val="0"/>
        <w:spacing w:line="360" w:lineRule="auto"/>
        <w:ind w:right="-10"/>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numPr>
          <w:ilvl w:val="0"/>
          <w:numId w:val="0"/>
        </w:numPr>
        <w:adjustRightInd w:val="0"/>
        <w:snapToGrid w:val="0"/>
        <w:spacing w:line="360" w:lineRule="auto"/>
        <w:ind w:right="-10" w:rightChars="0"/>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right="0" w:firstLine="0" w:firstLineChars="0"/>
        <w:jc w:val="center"/>
        <w:textAlignment w:val="auto"/>
        <w:rPr>
          <w:rStyle w:val="21"/>
          <w:rFonts w:hint="eastAsia" w:ascii="宋体" w:hAnsi="宋体" w:eastAsia="宋体" w:cs="宋体"/>
          <w:b/>
          <w:bCs/>
          <w:sz w:val="28"/>
          <w:szCs w:val="28"/>
          <w:highlight w:val="none"/>
        </w:rPr>
      </w:pPr>
      <w:r>
        <w:rPr>
          <w:rFonts w:hint="eastAsia" w:ascii="宋体" w:hAnsi="宋体" w:eastAsia="宋体" w:cs="宋体"/>
          <w:b/>
          <w:bCs/>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4"/>
        <w:keepNext/>
        <w:keepLines/>
        <w:pageBreakBefore w:val="0"/>
        <w:widowControl w:val="0"/>
        <w:kinsoku/>
        <w:wordWrap/>
        <w:overflowPunct/>
        <w:topLinePunct w:val="0"/>
        <w:autoSpaceDE/>
        <w:autoSpaceDN/>
        <w:bidi w:val="0"/>
        <w:adjustRightInd/>
        <w:snapToGrid/>
        <w:spacing w:before="260" w:after="260" w:line="360" w:lineRule="auto"/>
        <w:jc w:val="center"/>
        <w:textAlignment w:val="auto"/>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28"/>
          <w:szCs w:val="28"/>
          <w:highlight w:val="none"/>
          <w:lang w:val="en-US" w:eastAsia="zh-CN"/>
        </w:rPr>
        <w:t>第五章  参审文件</w:t>
      </w:r>
      <w:r>
        <w:rPr>
          <w:rFonts w:hint="eastAsia" w:ascii="宋体" w:hAnsi="宋体" w:eastAsia="宋体" w:cs="宋体"/>
          <w:b/>
          <w:bCs/>
          <w:sz w:val="28"/>
          <w:szCs w:val="28"/>
          <w:highlight w:val="none"/>
        </w:rPr>
        <w:t>格式</w:t>
      </w:r>
      <w:bookmarkEnd w:id="5"/>
      <w:bookmarkStart w:id="6" w:name="_Hlt509738509"/>
      <w:bookmarkStart w:id="7" w:name="_Hlt519045391"/>
      <w:bookmarkStart w:id="8" w:name="_Hlt509738521"/>
    </w:p>
    <w:p>
      <w:pPr>
        <w:pStyle w:val="14"/>
        <w:rPr>
          <w:rFonts w:hint="eastAsia"/>
          <w:highlight w:val="none"/>
        </w:rPr>
      </w:pPr>
    </w:p>
    <w:p>
      <w:pPr>
        <w:jc w:val="center"/>
        <w:rPr>
          <w:rStyle w:val="20"/>
          <w:rFonts w:hint="eastAsia" w:ascii="宋体" w:hAnsi="宋体" w:cs="宋体"/>
          <w:sz w:val="44"/>
          <w:szCs w:val="44"/>
          <w:highlight w:val="none"/>
          <w:lang w:val="en-US" w:eastAsia="zh-CN"/>
        </w:rPr>
      </w:pPr>
      <w:r>
        <w:rPr>
          <w:rStyle w:val="20"/>
          <w:rFonts w:hint="eastAsia" w:ascii="宋体" w:hAnsi="宋体" w:cs="宋体"/>
          <w:sz w:val="44"/>
          <w:szCs w:val="44"/>
          <w:highlight w:val="none"/>
          <w:lang w:val="en-US" w:eastAsia="zh-CN"/>
        </w:rPr>
        <w:t>肥西县城关地区 30 座公交候车亭设计项目</w:t>
      </w:r>
    </w:p>
    <w:p>
      <w:pPr>
        <w:pStyle w:val="2"/>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6"/>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33409360"/>
      <w:bookmarkEnd w:id="9"/>
      <w:bookmarkStart w:id="10" w:name="_Hlt509716873"/>
      <w:bookmarkEnd w:id="10"/>
      <w:bookmarkStart w:id="11" w:name="_Hlt519045798"/>
      <w:bookmarkEnd w:id="11"/>
      <w:bookmarkStart w:id="12" w:name="_Hlt533408409"/>
      <w:bookmarkEnd w:id="12"/>
      <w:bookmarkStart w:id="13" w:name="_Hlt533408916"/>
      <w:bookmarkEnd w:id="13"/>
      <w:bookmarkStart w:id="14" w:name="_Toc13084"/>
      <w:bookmarkStart w:id="15" w:name="_Toc516969097"/>
      <w:bookmarkStart w:id="16"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5"/>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eastAsia="zh-CN"/>
              </w:rPr>
              <w:t>肥西县城关地区 30 座公交候车亭设计项目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rPr>
          <w:rFonts w:hint="eastAsia" w:ascii="宋体" w:hAnsi="宋体" w:cs="宋体"/>
          <w:b/>
          <w:sz w:val="28"/>
          <w:szCs w:val="28"/>
          <w:highlight w:val="none"/>
        </w:rPr>
      </w:pPr>
    </w:p>
    <w:p>
      <w:pPr>
        <w:pStyle w:val="11"/>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6"/>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19990"/>
      <w:bookmarkStart w:id="19"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130"/>
      <w:bookmarkStart w:id="21" w:name="_Toc535241227"/>
      <w:bookmarkStart w:id="22" w:name="_Toc535241084"/>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6"/>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2"/>
        <w:rPr>
          <w:rFonts w:hint="eastAsia"/>
          <w:highlight w:val="none"/>
          <w:lang w:val="en-US" w:eastAsia="zh-CN"/>
        </w:rPr>
      </w:pPr>
    </w:p>
    <w:p>
      <w:pPr>
        <w:pStyle w:val="6"/>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3"/>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肥西县城关地区 30 座公交候车亭设计项目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6"/>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5"/>
        <w:keepNext/>
        <w:keepLines/>
        <w:pageBreakBefore w:val="0"/>
        <w:widowControl w:val="0"/>
        <w:kinsoku/>
        <w:wordWrap/>
        <w:overflowPunct/>
        <w:topLinePunct w:val="0"/>
        <w:autoSpaceDE/>
        <w:autoSpaceDN/>
        <w:bidi w:val="0"/>
        <w:adjustRightInd/>
        <w:snapToGrid/>
        <w:spacing w:before="0" w:after="0" w:line="416" w:lineRule="auto"/>
        <w:ind w:firstLine="0"/>
        <w:textAlignment w:val="auto"/>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19826"/>
      <w:bookmarkStart w:id="29"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8"/>
      <w:bookmarkEnd w:id="29"/>
      <w:bookmarkStart w:id="30" w:name="_Toc26965"/>
      <w:bookmarkStart w:id="31" w:name="_Toc220232402"/>
      <w:bookmarkStart w:id="32" w:name="_Toc516969105"/>
      <w:r>
        <w:rPr>
          <w:rStyle w:val="23"/>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5"/>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17338"/>
      <w:bookmarkStart w:id="36" w:name="_Toc500337346"/>
      <w:bookmarkStart w:id="37" w:name="_Toc220232403"/>
    </w:p>
    <w:p>
      <w:pPr>
        <w:pStyle w:val="6"/>
        <w:rPr>
          <w:rFonts w:hint="eastAsia" w:hAnsi="宋体" w:cs="宋体"/>
          <w:sz w:val="28"/>
          <w:szCs w:val="28"/>
          <w:highlight w:val="none"/>
          <w:lang w:val="en-US" w:eastAsia="zh-CN"/>
        </w:rPr>
      </w:pPr>
    </w:p>
    <w:p>
      <w:pPr>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3513A6D1"/>
    <w:multiLevelType w:val="singleLevel"/>
    <w:tmpl w:val="3513A6D1"/>
    <w:lvl w:ilvl="0" w:tentative="0">
      <w:start w:val="5"/>
      <w:numFmt w:val="decimal"/>
      <w:lvlText w:val="%1."/>
      <w:lvlJc w:val="left"/>
      <w:pPr>
        <w:tabs>
          <w:tab w:val="left" w:pos="312"/>
        </w:tabs>
      </w:pPr>
    </w:lvl>
  </w:abstractNum>
  <w:abstractNum w:abstractNumId="3">
    <w:nsid w:val="59A93B5B"/>
    <w:multiLevelType w:val="singleLevel"/>
    <w:tmpl w:val="59A93B5B"/>
    <w:lvl w:ilvl="0" w:tentative="0">
      <w:start w:val="1"/>
      <w:numFmt w:val="decimal"/>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D177E1"/>
    <w:rsid w:val="04526E7B"/>
    <w:rsid w:val="04BE14C0"/>
    <w:rsid w:val="081952B3"/>
    <w:rsid w:val="099F10DB"/>
    <w:rsid w:val="0BA23811"/>
    <w:rsid w:val="0DB54600"/>
    <w:rsid w:val="0E033F7A"/>
    <w:rsid w:val="0E4775D9"/>
    <w:rsid w:val="0EE91E83"/>
    <w:rsid w:val="135056C8"/>
    <w:rsid w:val="13C47160"/>
    <w:rsid w:val="140C4DDD"/>
    <w:rsid w:val="158F4327"/>
    <w:rsid w:val="173D0998"/>
    <w:rsid w:val="175054C9"/>
    <w:rsid w:val="182C1032"/>
    <w:rsid w:val="19567783"/>
    <w:rsid w:val="1B841D1D"/>
    <w:rsid w:val="1BF22A8E"/>
    <w:rsid w:val="1CDD28FB"/>
    <w:rsid w:val="23A62190"/>
    <w:rsid w:val="23E028CC"/>
    <w:rsid w:val="26356BAE"/>
    <w:rsid w:val="290D27BA"/>
    <w:rsid w:val="292559B5"/>
    <w:rsid w:val="2D3A48A4"/>
    <w:rsid w:val="2E0E0B66"/>
    <w:rsid w:val="30DE4562"/>
    <w:rsid w:val="32320381"/>
    <w:rsid w:val="343F2DFD"/>
    <w:rsid w:val="39AB1468"/>
    <w:rsid w:val="3A587E8F"/>
    <w:rsid w:val="3B5A3BC4"/>
    <w:rsid w:val="3C0E6EC2"/>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4A5505E"/>
    <w:rsid w:val="6597619F"/>
    <w:rsid w:val="6608232F"/>
    <w:rsid w:val="66EF67B7"/>
    <w:rsid w:val="68816AA3"/>
    <w:rsid w:val="6C727408"/>
    <w:rsid w:val="6C8D2FC3"/>
    <w:rsid w:val="6D147674"/>
    <w:rsid w:val="70082960"/>
    <w:rsid w:val="70787AE6"/>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5">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6">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7">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Arial"/>
      <w:sz w:val="28"/>
    </w:rPr>
  </w:style>
  <w:style w:type="paragraph" w:styleId="3">
    <w:name w:val="Date"/>
    <w:basedOn w:val="1"/>
    <w:next w:val="1"/>
    <w:qFormat/>
    <w:uiPriority w:val="0"/>
    <w:rPr>
      <w:b/>
      <w:kern w:val="2"/>
      <w:sz w:val="28"/>
    </w:rPr>
  </w:style>
  <w:style w:type="paragraph" w:styleId="8">
    <w:name w:val="annotation text"/>
    <w:basedOn w:val="1"/>
    <w:qFormat/>
    <w:uiPriority w:val="0"/>
    <w:pPr>
      <w:jc w:val="left"/>
    </w:p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4"/>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5"/>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5779</Words>
  <Characters>5996</Characters>
  <Lines>0</Lines>
  <Paragraphs>0</Paragraphs>
  <TotalTime>19</TotalTime>
  <ScaleCrop>false</ScaleCrop>
  <LinksUpToDate>false</LinksUpToDate>
  <CharactersWithSpaces>6893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2023-06-15T07:27:51Z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03A499FB194846BD9B4CDCFFC7D06988_13</vt:lpwstr>
  </property>
</Properties>
</file>