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44"/>
          <w:szCs w:val="44"/>
          <w:highlight w:val="none"/>
          <w:lang w:val="en-US" w:eastAsia="zh-CN"/>
        </w:rPr>
        <w:t>三河古镇研学游项目设计</w:t>
      </w:r>
    </w:p>
    <w:p>
      <w:pPr>
        <w:pStyle w:val="5"/>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5"/>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5"/>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5"/>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2"/>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黑体" w:hAnsi="宋体" w:eastAsia="黑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黑体" w:hAnsi="宋体" w:eastAsia="黑体"/>
          <w:sz w:val="32"/>
          <w:szCs w:val="32"/>
          <w:highlight w:val="none"/>
        </w:rPr>
        <w:t>年</w:t>
      </w:r>
      <w:r>
        <w:rPr>
          <w:rFonts w:hint="eastAsia" w:ascii="黑体" w:hAnsi="宋体" w:eastAsia="黑体"/>
          <w:sz w:val="32"/>
          <w:szCs w:val="32"/>
          <w:highlight w:val="none"/>
          <w:lang w:val="en-US" w:eastAsia="zh-CN"/>
        </w:rPr>
        <w:t>5</w:t>
      </w:r>
      <w:r>
        <w:rPr>
          <w:rFonts w:hint="eastAsia" w:ascii="黑体" w:hAnsi="宋体" w:eastAsia="黑体"/>
          <w:sz w:val="32"/>
          <w:szCs w:val="32"/>
          <w:highlight w:val="none"/>
        </w:rPr>
        <w:t>月</w:t>
      </w:r>
    </w:p>
    <w:p>
      <w:pPr>
        <w:pStyle w:val="16"/>
        <w:rPr>
          <w:rFonts w:hint="eastAsia" w:ascii="宋体" w:hAnsi="宋体"/>
          <w:sz w:val="32"/>
          <w:szCs w:val="32"/>
          <w:highlight w:val="none"/>
        </w:rPr>
      </w:pPr>
    </w:p>
    <w:p>
      <w:pPr>
        <w:pStyle w:val="14"/>
        <w:rPr>
          <w:rFonts w:hint="eastAsia"/>
        </w:rPr>
      </w:pPr>
    </w:p>
    <w:p>
      <w:pPr>
        <w:pStyle w:val="5"/>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pStyle w:val="5"/>
        <w:spacing w:before="120" w:beforeLines="0" w:line="360" w:lineRule="auto"/>
        <w:ind w:firstLine="602" w:firstLineChars="200"/>
        <w:rPr>
          <w:rStyle w:val="21"/>
          <w:rFonts w:hint="eastAsia" w:ascii="宋体" w:hAnsi="宋体" w:eastAsia="宋体" w:cs="宋体"/>
          <w:b/>
          <w:bCs/>
          <w:sz w:val="30"/>
          <w:szCs w:val="30"/>
          <w:highlight w:val="none"/>
          <w:lang w:val="en-US" w:eastAsia="zh-CN"/>
        </w:rPr>
      </w:pPr>
    </w:p>
    <w:p>
      <w:pPr>
        <w:pStyle w:val="5"/>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lang w:val="en-US" w:eastAsia="zh-CN"/>
        </w:rPr>
        <w:t>三河古镇研学游项目设计</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left="719" w:leftChars="228" w:hanging="240" w:hangingChars="100"/>
        <w:jc w:val="left"/>
        <w:rPr>
          <w:rFonts w:hint="eastAsia" w:ascii="宋体" w:hAnsi="宋体" w:cs="宋体"/>
          <w:sz w:val="24"/>
          <w:szCs w:val="24"/>
          <w:highlight w:val="none"/>
          <w:u w:val="none"/>
          <w:lang w:val="en-US"/>
        </w:rPr>
      </w:pPr>
      <w:r>
        <w:rPr>
          <w:rFonts w:hint="eastAsia" w:ascii="宋体" w:hAnsi="宋体" w:cs="宋体"/>
          <w:sz w:val="24"/>
          <w:szCs w:val="24"/>
          <w:highlight w:val="none"/>
        </w:rPr>
        <w:t>1.项目名称：</w:t>
      </w:r>
      <w:r>
        <w:rPr>
          <w:rFonts w:hint="eastAsia" w:ascii="宋体" w:hAnsi="宋体" w:cs="宋体"/>
          <w:sz w:val="24"/>
          <w:szCs w:val="24"/>
          <w:highlight w:val="none"/>
          <w:lang w:val="en-US" w:eastAsia="zh-CN"/>
        </w:rPr>
        <w:t>三河古镇研学游项目设计</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2.项目地点：项目位于</w:t>
      </w:r>
      <w:r>
        <w:rPr>
          <w:rFonts w:hint="eastAsia" w:ascii="宋体" w:hAnsi="宋体" w:cs="宋体"/>
          <w:sz w:val="24"/>
          <w:szCs w:val="24"/>
          <w:highlight w:val="none"/>
          <w:lang w:val="en-US" w:eastAsia="zh-CN"/>
        </w:rPr>
        <w:t>三河古镇景区</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numPr>
          <w:ilvl w:val="0"/>
          <w:numId w:val="0"/>
        </w:numPr>
        <w:autoSpaceDE w:val="0"/>
        <w:autoSpaceDN w:val="0"/>
        <w:adjustRightInd w:val="0"/>
        <w:spacing w:line="360" w:lineRule="auto"/>
        <w:ind w:firstLine="480" w:firstLineChars="200"/>
        <w:jc w:val="left"/>
        <w:rPr>
          <w:rFonts w:hint="eastAsia" w:ascii="宋体" w:hAnsi="宋体" w:cs="宋体"/>
          <w:sz w:val="24"/>
          <w:szCs w:val="24"/>
          <w:highlight w:val="yellow"/>
          <w:lang w:val="en-US" w:eastAsia="zh-CN"/>
        </w:rPr>
      </w:pPr>
      <w:r>
        <w:rPr>
          <w:rFonts w:hint="eastAsia" w:ascii="宋体" w:hAnsi="宋体" w:cs="宋体"/>
          <w:sz w:val="24"/>
          <w:szCs w:val="24"/>
          <w:highlight w:val="yellow"/>
        </w:rPr>
        <w:t>4.项目</w:t>
      </w:r>
      <w:r>
        <w:rPr>
          <w:rFonts w:hint="eastAsia" w:ascii="宋体" w:hAnsi="宋体" w:cs="宋体"/>
          <w:sz w:val="24"/>
          <w:szCs w:val="24"/>
          <w:highlight w:val="yellow"/>
          <w:lang w:val="en-US" w:eastAsia="zh-CN"/>
        </w:rPr>
        <w:t>概况：：研学游项目位于三杭路以北、小南河以西，占地约16亩。计划打造三河古镇5A级景区特色研学基地，构建全国特色民俗非遗研学营地，集权威研学、教育、 拓展、 写生、交流、休闲娱乐等为一体的一站式民俗非遗特色文化定制型服务基地。</w:t>
      </w:r>
    </w:p>
    <w:p>
      <w:pPr>
        <w:numPr>
          <w:ilvl w:val="0"/>
          <w:numId w:val="0"/>
        </w:numPr>
        <w:autoSpaceDE w:val="0"/>
        <w:autoSpaceDN w:val="0"/>
        <w:adjustRightInd w:val="0"/>
        <w:spacing w:line="360" w:lineRule="auto"/>
        <w:ind w:firstLine="480" w:firstLineChars="200"/>
        <w:jc w:val="left"/>
        <w:rPr>
          <w:rFonts w:hint="eastAsia" w:ascii="宋体" w:hAnsi="宋体" w:cs="宋体"/>
          <w:sz w:val="24"/>
          <w:szCs w:val="24"/>
          <w:highlight w:val="yellow"/>
          <w:lang w:val="en-US" w:eastAsia="zh-CN"/>
        </w:rPr>
      </w:pPr>
      <w:r>
        <w:rPr>
          <w:rFonts w:hint="eastAsia" w:ascii="宋体" w:hAnsi="宋体" w:cs="宋体"/>
          <w:sz w:val="24"/>
          <w:szCs w:val="24"/>
          <w:highlight w:val="yellow"/>
          <w:lang w:val="en-US" w:eastAsia="zh-CN"/>
        </w:rPr>
        <w:t>规划包括研学游大厅，展厅、讲堂、餐厅、教师办公室，室外活动场地、停车场，卫生间，室外景观及其他配套等内容</w:t>
      </w:r>
    </w:p>
    <w:p>
      <w:pPr>
        <w:numPr>
          <w:ilvl w:val="0"/>
          <w:numId w:val="0"/>
        </w:numPr>
        <w:autoSpaceDE w:val="0"/>
        <w:autoSpaceDN w:val="0"/>
        <w:adjustRightInd w:val="0"/>
        <w:spacing w:line="360" w:lineRule="auto"/>
        <w:ind w:firstLine="480" w:firstLineChars="200"/>
        <w:jc w:val="left"/>
        <w:rPr>
          <w:rFonts w:hint="eastAsia" w:ascii="宋体" w:hAnsi="宋体" w:cs="宋体"/>
          <w:sz w:val="24"/>
          <w:szCs w:val="24"/>
          <w:highlight w:val="yellow"/>
          <w:lang w:val="en-US" w:eastAsia="zh-CN"/>
        </w:rPr>
      </w:pPr>
      <w:r>
        <w:rPr>
          <w:rFonts w:hint="eastAsia" w:ascii="宋体" w:hAnsi="宋体" w:cs="宋体"/>
          <w:sz w:val="24"/>
          <w:szCs w:val="24"/>
          <w:highlight w:val="yellow"/>
          <w:lang w:val="en-US" w:eastAsia="zh-CN"/>
        </w:rPr>
        <w:t>招标范围：红线范围内的全部设计、审图及概算、预算编制，具体内容包括：1、总平；2、单体方案设计及概算；设计方案需组织专家论证会；报规；3、施工图设计及预算；4、审图并取得合格证（含消防协审）；5、室外及景观方案设计及概算，施工图设计及预算；6、雨污水管网方案设计及概算、施工图设计及预算；7、供配电方案设计及概算、施工图设计及预算；8、其他配套等内容（如餐厅内装、环保设施等），提供相应的概、预算。</w:t>
      </w:r>
    </w:p>
    <w:p>
      <w:pPr>
        <w:numPr>
          <w:ilvl w:val="0"/>
          <w:numId w:val="0"/>
        </w:numPr>
        <w:autoSpaceDE w:val="0"/>
        <w:autoSpaceDN w:val="0"/>
        <w:adjustRightInd w:val="0"/>
        <w:spacing w:line="360" w:lineRule="auto"/>
        <w:ind w:firstLine="480" w:firstLineChars="200"/>
        <w:jc w:val="left"/>
        <w:rPr>
          <w:rFonts w:hint="eastAsia" w:ascii="宋体" w:hAnsi="宋体" w:cs="宋体"/>
          <w:sz w:val="24"/>
          <w:szCs w:val="24"/>
          <w:highlight w:val="yellow"/>
          <w:lang w:val="en-US" w:eastAsia="zh-CN"/>
        </w:rPr>
      </w:pPr>
      <w:r>
        <w:rPr>
          <w:rFonts w:hint="eastAsia" w:ascii="宋体" w:hAnsi="宋体" w:cs="宋体"/>
          <w:sz w:val="24"/>
          <w:szCs w:val="24"/>
          <w:highlight w:val="yellow"/>
          <w:lang w:val="en-US" w:eastAsia="zh-CN"/>
        </w:rPr>
        <w:t xml:space="preserve"> 其它服务内容包括：1、本项目总投资900万，限额设计；2、设计全过程所有审批环节的论证、评审、评估工作（含发生的所有费用）；3、施工过程中的设计服务，直至项目竣工验收合格整体移交。</w:t>
      </w:r>
    </w:p>
    <w:p>
      <w:pPr>
        <w:numPr>
          <w:ilvl w:val="0"/>
          <w:numId w:val="0"/>
        </w:numPr>
        <w:autoSpaceDE w:val="0"/>
        <w:autoSpaceDN w:val="0"/>
        <w:adjustRightInd w:val="0"/>
        <w:spacing w:line="360" w:lineRule="auto"/>
        <w:ind w:firstLine="480" w:firstLineChars="200"/>
        <w:jc w:val="left"/>
        <w:rPr>
          <w:rFonts w:hint="default"/>
          <w:lang w:val="en-US" w:eastAsia="zh-CN"/>
        </w:rPr>
      </w:pPr>
      <w:r>
        <w:rPr>
          <w:rFonts w:hint="eastAsia" w:ascii="宋体" w:hAnsi="宋体" w:cs="宋体"/>
          <w:sz w:val="24"/>
          <w:szCs w:val="24"/>
          <w:highlight w:val="yellow"/>
          <w:lang w:val="en-US" w:eastAsia="zh-CN"/>
        </w:rPr>
        <w:t>项目总工期为40天，</w:t>
      </w:r>
      <w:r>
        <w:rPr>
          <w:rFonts w:hint="eastAsia" w:ascii="宋体" w:hAnsi="宋体" w:eastAsia="宋体" w:cs="宋体"/>
          <w:sz w:val="24"/>
          <w:szCs w:val="24"/>
          <w:highlight w:val="yellow"/>
          <w:lang w:val="en-US" w:eastAsia="zh-CN"/>
        </w:rPr>
        <w:t>方案设计15天，施工图设计（含取得审图及消防协审合格证）25 天。</w:t>
      </w:r>
    </w:p>
    <w:p>
      <w:pPr>
        <w:numPr>
          <w:ilvl w:val="0"/>
          <w:numId w:val="1"/>
        </w:numPr>
        <w:autoSpaceDE w:val="0"/>
        <w:autoSpaceDN w:val="0"/>
        <w:adjustRightInd w:val="0"/>
        <w:spacing w:line="360" w:lineRule="auto"/>
        <w:ind w:firstLine="480" w:firstLineChars="200"/>
        <w:jc w:val="left"/>
        <w:rPr>
          <w:rFonts w:hint="default"/>
          <w:lang w:val="en-US" w:eastAsia="zh-CN"/>
        </w:rPr>
      </w:pPr>
      <w:r>
        <w:rPr>
          <w:rFonts w:hint="eastAsia" w:ascii="宋体" w:hAnsi="宋体" w:cs="宋体"/>
          <w:sz w:val="24"/>
          <w:szCs w:val="24"/>
          <w:highlight w:val="none"/>
        </w:rPr>
        <w:t>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27万元（各单位报价不得超过本预算）</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：服务类</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1、具有独立承担民事责任的能力；</w:t>
      </w:r>
    </w:p>
    <w:p>
      <w:pPr>
        <w:spacing w:line="360" w:lineRule="auto"/>
        <w:ind w:firstLine="480" w:firstLineChars="200"/>
        <w:rPr>
          <w:rFonts w:hint="eastAsia" w:ascii="宋体" w:hAnsi="宋体" w:cs="宋体"/>
          <w:sz w:val="24"/>
          <w:szCs w:val="24"/>
          <w:highlight w:val="none"/>
          <w:lang w:eastAsia="zh-CN"/>
        </w:rPr>
      </w:pPr>
      <w:r>
        <w:rPr>
          <w:rFonts w:hint="eastAsia" w:ascii="宋体" w:hAnsi="宋体" w:cs="宋体"/>
          <w:sz w:val="24"/>
          <w:szCs w:val="24"/>
          <w:highlight w:val="none"/>
        </w:rPr>
        <w:t>2、具有有效的三证合一营业执照(或营业执照、组织机构代码证、税务登记证）</w:t>
      </w:r>
      <w:r>
        <w:rPr>
          <w:rFonts w:hint="eastAsia" w:ascii="宋体" w:hAnsi="宋体" w:cs="宋体"/>
          <w:sz w:val="24"/>
          <w:szCs w:val="24"/>
          <w:highlight w:val="none"/>
          <w:lang w:eastAsia="zh-CN"/>
        </w:rPr>
        <w:t>；</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3、资质</w:t>
      </w:r>
      <w:r>
        <w:rPr>
          <w:rFonts w:hint="eastAsia" w:ascii="宋体" w:hAnsi="宋体" w:cs="宋体"/>
          <w:sz w:val="24"/>
          <w:szCs w:val="24"/>
          <w:highlight w:val="none"/>
          <w:lang w:val="en-US" w:eastAsia="zh-CN"/>
        </w:rPr>
        <w:t>要求</w:t>
      </w:r>
      <w:r>
        <w:rPr>
          <w:rFonts w:hint="eastAsia" w:ascii="宋体" w:hAnsi="宋体" w:eastAsia="宋体" w:cs="宋体"/>
          <w:sz w:val="24"/>
          <w:szCs w:val="24"/>
          <w:highlight w:val="none"/>
          <w:lang w:val="en-US" w:eastAsia="zh-CN"/>
        </w:rPr>
        <w:t>：满足下列条件之一：①工程设计综合甲级资质；②建筑行业（建筑工程）专业工程设计乙级及以上资质；③建筑行业工程设计乙级及以上资质</w:t>
      </w:r>
    </w:p>
    <w:p>
      <w:pPr>
        <w:spacing w:line="360" w:lineRule="auto"/>
        <w:ind w:firstLine="480" w:firstLineChars="200"/>
        <w:rPr>
          <w:rFonts w:hint="eastAsia" w:ascii="宋体" w:hAnsi="宋体" w:eastAsia="宋体" w:cs="宋体"/>
          <w:sz w:val="24"/>
          <w:szCs w:val="24"/>
          <w:highlight w:val="yellow"/>
        </w:rPr>
      </w:pPr>
      <w:r>
        <w:rPr>
          <w:rFonts w:hint="eastAsia" w:ascii="宋体" w:hAnsi="宋体" w:cs="宋体"/>
          <w:sz w:val="24"/>
          <w:szCs w:val="24"/>
          <w:highlight w:val="yellow"/>
          <w:lang w:val="en-US" w:eastAsia="zh-CN"/>
        </w:rPr>
        <w:t>4</w:t>
      </w:r>
      <w:r>
        <w:rPr>
          <w:rFonts w:hint="eastAsia" w:ascii="宋体" w:hAnsi="宋体" w:eastAsia="宋体" w:cs="宋体"/>
          <w:sz w:val="24"/>
          <w:szCs w:val="24"/>
          <w:highlight w:val="yellow"/>
        </w:rPr>
        <w:t>、本项目不接受联合体；</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yellow"/>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05</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11</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05</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19</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12:00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2"/>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w:t>
      </w:r>
      <w:r>
        <w:rPr>
          <w:rFonts w:hint="eastAsia" w:ascii="宋体" w:hAnsi="宋体" w:cs="宋体"/>
          <w:sz w:val="24"/>
          <w:szCs w:val="24"/>
          <w:highlight w:val="none"/>
          <w:lang w:val="en-US" w:eastAsia="zh-CN"/>
        </w:rPr>
        <w:t>邮件至联系人邮箱即为报名成功</w:t>
      </w:r>
      <w:r>
        <w:rPr>
          <w:rFonts w:hint="eastAsia" w:ascii="宋体" w:hAnsi="宋体" w:eastAsia="宋体" w:cs="宋体"/>
          <w:color w:val="auto"/>
          <w:sz w:val="24"/>
          <w:szCs w:val="24"/>
          <w:highlight w:val="none"/>
          <w:lang w:val="en-US"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19</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下午15点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w:t>
      </w:r>
      <w:r>
        <w:rPr>
          <w:rFonts w:hint="eastAsia" w:ascii="宋体" w:hAnsi="宋体" w:eastAsia="宋体" w:cs="宋体"/>
          <w:color w:val="auto"/>
          <w:kern w:val="0"/>
          <w:sz w:val="24"/>
          <w:szCs w:val="24"/>
          <w:highlight w:val="none"/>
          <w:lang w:val="en-US" w:eastAsia="zh-CN"/>
        </w:rPr>
        <w:t>司。</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联系人：</w:t>
      </w:r>
      <w:r>
        <w:rPr>
          <w:rFonts w:hint="eastAsia" w:ascii="宋体" w:hAnsi="宋体" w:cs="宋体"/>
          <w:color w:val="auto"/>
          <w:kern w:val="0"/>
          <w:sz w:val="24"/>
          <w:szCs w:val="24"/>
          <w:highlight w:val="none"/>
          <w:lang w:val="en-US" w:eastAsia="zh-CN"/>
        </w:rPr>
        <w:t>吴工</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电话：0551-68757116</w:t>
      </w: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rPr>
          <w:rFonts w:hint="eastAsia"/>
          <w:lang w:val="en-US" w:eastAsia="zh-CN"/>
        </w:rPr>
      </w:pPr>
      <w:bookmarkStart w:id="1" w:name="_Toc220232390"/>
      <w:bookmarkStart w:id="2" w:name="_Toc20903"/>
    </w:p>
    <w:p>
      <w:pPr>
        <w:pStyle w:val="5"/>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numPr>
          <w:ilvl w:val="0"/>
          <w:numId w:val="0"/>
        </w:numPr>
        <w:autoSpaceDE w:val="0"/>
        <w:autoSpaceDN w:val="0"/>
        <w:adjustRightInd w:val="0"/>
        <w:spacing w:line="360" w:lineRule="auto"/>
        <w:ind w:firstLine="480" w:firstLineChars="200"/>
        <w:jc w:val="left"/>
        <w:rPr>
          <w:rFonts w:hint="eastAsia" w:ascii="宋体" w:hAnsi="宋体" w:cs="宋体"/>
          <w:sz w:val="24"/>
          <w:szCs w:val="24"/>
          <w:highlight w:val="yellow"/>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Theme="minorEastAsia" w:hAnsiTheme="minorEastAsia" w:eastAsiaTheme="minorEastAsia" w:cstheme="minorEastAsia"/>
          <w:kern w:val="0"/>
          <w:sz w:val="24"/>
          <w:szCs w:val="24"/>
          <w:highlight w:val="none"/>
          <w:lang w:val="en-US" w:eastAsia="zh-CN"/>
        </w:rPr>
        <w:t>三河古镇研学游项目设计</w:t>
      </w:r>
      <w:r>
        <w:rPr>
          <w:rFonts w:hint="eastAsia" w:ascii="宋体" w:hAnsi="宋体" w:cs="宋体"/>
          <w:sz w:val="24"/>
          <w:szCs w:val="24"/>
          <w:highlight w:val="none"/>
          <w:lang w:val="en-US" w:eastAsia="zh-CN"/>
        </w:rPr>
        <w:t>，</w:t>
      </w:r>
      <w:r>
        <w:rPr>
          <w:rFonts w:hint="eastAsia" w:ascii="宋体" w:hAnsi="宋体" w:cs="宋体"/>
          <w:sz w:val="24"/>
          <w:szCs w:val="24"/>
          <w:highlight w:val="yellow"/>
          <w:lang w:val="en-US" w:eastAsia="zh-CN"/>
        </w:rPr>
        <w:t>研学游项目位于三杭路以北、小南河以西，占地约16亩。计划打造三河古镇5A级景区特色研学基地，构建全国特色民俗非遗研学营地，集权威研学、教育、 拓展、 写生、交流、休闲娱乐等为一体的一站式民俗非遗特色文化定制型服务基地。</w:t>
      </w:r>
    </w:p>
    <w:p>
      <w:pPr>
        <w:numPr>
          <w:ilvl w:val="0"/>
          <w:numId w:val="0"/>
        </w:numPr>
        <w:autoSpaceDE w:val="0"/>
        <w:autoSpaceDN w:val="0"/>
        <w:adjustRightInd w:val="0"/>
        <w:spacing w:line="360" w:lineRule="auto"/>
        <w:ind w:firstLine="480" w:firstLineChars="200"/>
        <w:jc w:val="left"/>
        <w:rPr>
          <w:rFonts w:hint="eastAsia" w:ascii="宋体" w:hAnsi="宋体" w:cs="宋体"/>
          <w:sz w:val="24"/>
          <w:szCs w:val="24"/>
          <w:highlight w:val="yellow"/>
          <w:lang w:val="en-US" w:eastAsia="zh-CN"/>
        </w:rPr>
      </w:pPr>
      <w:r>
        <w:rPr>
          <w:rFonts w:hint="eastAsia" w:ascii="宋体" w:hAnsi="宋体" w:cs="宋体"/>
          <w:sz w:val="24"/>
          <w:szCs w:val="24"/>
          <w:highlight w:val="yellow"/>
          <w:lang w:val="en-US" w:eastAsia="zh-CN"/>
        </w:rPr>
        <w:t>规划包括研学游大厅，展厅、讲堂、餐厅、教师办公室，室外活动场地、停车场，卫生间，室外景观及其他配套等内容</w:t>
      </w:r>
    </w:p>
    <w:p>
      <w:pPr>
        <w:numPr>
          <w:ilvl w:val="0"/>
          <w:numId w:val="0"/>
        </w:numPr>
        <w:autoSpaceDE w:val="0"/>
        <w:autoSpaceDN w:val="0"/>
        <w:adjustRightInd w:val="0"/>
        <w:spacing w:line="360" w:lineRule="auto"/>
        <w:ind w:firstLine="480" w:firstLineChars="200"/>
        <w:jc w:val="left"/>
        <w:rPr>
          <w:rFonts w:hint="eastAsia" w:ascii="宋体" w:hAnsi="宋体" w:cs="宋体"/>
          <w:sz w:val="24"/>
          <w:szCs w:val="24"/>
          <w:highlight w:val="yellow"/>
          <w:lang w:val="en-US" w:eastAsia="zh-CN"/>
        </w:rPr>
      </w:pPr>
      <w:r>
        <w:rPr>
          <w:rFonts w:hint="eastAsia" w:ascii="宋体" w:hAnsi="宋体" w:cs="宋体"/>
          <w:sz w:val="24"/>
          <w:szCs w:val="24"/>
          <w:highlight w:val="yellow"/>
          <w:lang w:val="en-US" w:eastAsia="zh-CN"/>
        </w:rPr>
        <w:t>招标范围：红线范围内的全部设计、审图及概算、预算编制，具体内容包括：1、总平；2、单体方案设计及概算；设计方案需组织专家论证会；报规；3、施工图设计及预算；4、审图并取得合格证（含消防协审）；5、室外及景观方案设计及概算，施工图设计及预算；6、雨污水管网方案设计及概算、施工图设计及预算；7、供配电方案设计及概算、施工图设计及预算；8、其他配套等内容（如餐厅内装、环保设施等），提供相应的概、预算。</w:t>
      </w:r>
    </w:p>
    <w:p>
      <w:pPr>
        <w:numPr>
          <w:ilvl w:val="0"/>
          <w:numId w:val="0"/>
        </w:numPr>
        <w:autoSpaceDE w:val="0"/>
        <w:autoSpaceDN w:val="0"/>
        <w:adjustRightInd w:val="0"/>
        <w:spacing w:line="360" w:lineRule="auto"/>
        <w:ind w:firstLine="480" w:firstLineChars="200"/>
        <w:jc w:val="left"/>
        <w:rPr>
          <w:rFonts w:hint="eastAsia" w:ascii="宋体" w:hAnsi="宋体" w:cs="宋体"/>
          <w:sz w:val="24"/>
          <w:szCs w:val="24"/>
          <w:highlight w:val="yellow"/>
          <w:lang w:val="en-US" w:eastAsia="zh-CN"/>
        </w:rPr>
      </w:pPr>
      <w:r>
        <w:rPr>
          <w:rFonts w:hint="eastAsia" w:ascii="宋体" w:hAnsi="宋体" w:cs="宋体"/>
          <w:sz w:val="24"/>
          <w:szCs w:val="24"/>
          <w:highlight w:val="yellow"/>
          <w:lang w:val="en-US" w:eastAsia="zh-CN"/>
        </w:rPr>
        <w:t xml:space="preserve"> 其它服务内容包括：1、本项目总投资900万，限额设计；2、设计全过程所有审批环节的论证、评审、评估工作（含发生的所有费用）；3、施工过程中的设计服务，直至项目竣工验收合格整体移交。</w:t>
      </w:r>
    </w:p>
    <w:p>
      <w:pPr>
        <w:numPr>
          <w:ilvl w:val="0"/>
          <w:numId w:val="0"/>
        </w:numPr>
        <w:autoSpaceDE w:val="0"/>
        <w:autoSpaceDN w:val="0"/>
        <w:adjustRightInd w:val="0"/>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宋体" w:hAnsi="宋体" w:cs="宋体"/>
          <w:sz w:val="24"/>
          <w:szCs w:val="24"/>
          <w:highlight w:val="yellow"/>
          <w:lang w:val="en-US" w:eastAsia="zh-CN"/>
        </w:rPr>
        <w:t>项目总工期为40天，</w:t>
      </w:r>
      <w:r>
        <w:rPr>
          <w:rFonts w:hint="eastAsia" w:ascii="宋体" w:hAnsi="宋体" w:eastAsia="宋体" w:cs="宋体"/>
          <w:sz w:val="24"/>
          <w:szCs w:val="24"/>
          <w:highlight w:val="yellow"/>
          <w:lang w:val="en-US" w:eastAsia="zh-CN"/>
        </w:rPr>
        <w:t>方案设计15天，施工图设计（含取得审图及消防协审合格证）25 天。</w:t>
      </w:r>
    </w:p>
    <w:p>
      <w:pPr>
        <w:pageBreakBefore w:val="0"/>
        <w:widowControl w:val="0"/>
        <w:numPr>
          <w:numId w:val="0"/>
        </w:numPr>
        <w:kinsoku/>
        <w:wordWrap/>
        <w:overflowPunct/>
        <w:topLinePunct w:val="0"/>
        <w:autoSpaceDE w:val="0"/>
        <w:autoSpaceDN w:val="0"/>
        <w:bidi w:val="0"/>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付款方式：第一次：施工图审查合格并取得审图合格证后支付至设计费用的50%；第二次：项目竣工验收合格后支付至设计费用的80%；第三次:工程结算审定且竣工备案移交完成后，无息支付剩余设计费</w:t>
      </w:r>
    </w:p>
    <w:p>
      <w:pPr>
        <w:pageBreakBefore w:val="0"/>
        <w:widowControl w:val="0"/>
        <w:numPr>
          <w:ilvl w:val="0"/>
          <w:numId w:val="3"/>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Fonts w:hint="eastAsia" w:asciiTheme="minorEastAsia" w:hAnsiTheme="minorEastAsia" w:eastAsiaTheme="minorEastAsia" w:cstheme="minorEastAsia"/>
          <w:b w:val="0"/>
          <w:bCs w:val="0"/>
          <w:kern w:val="2"/>
          <w:sz w:val="24"/>
          <w:szCs w:val="24"/>
          <w:highlight w:val="yellow"/>
          <w:lang w:val="en-US" w:eastAsia="zh-CN" w:bidi="ar-SA"/>
        </w:rPr>
        <w:t>2023年05月11日-2023年05月19日12</w:t>
      </w:r>
      <w:bookmarkStart w:id="38" w:name="_GoBack"/>
      <w:bookmarkEnd w:id="38"/>
      <w:r>
        <w:rPr>
          <w:rFonts w:hint="eastAsia" w:asciiTheme="minorEastAsia" w:hAnsiTheme="minorEastAsia" w:eastAsiaTheme="minorEastAsia" w:cstheme="minorEastAsia"/>
          <w:b w:val="0"/>
          <w:bCs w:val="0"/>
          <w:kern w:val="2"/>
          <w:sz w:val="24"/>
          <w:szCs w:val="24"/>
          <w:highlight w:val="yellow"/>
          <w:lang w:val="en-US" w:eastAsia="zh-CN" w:bidi="ar-SA"/>
        </w:rPr>
        <w:t>:00</w:t>
      </w:r>
      <w:r>
        <w:rPr>
          <w:rFonts w:hint="eastAsia" w:asciiTheme="minorEastAsia" w:hAnsiTheme="minorEastAsia" w:eastAsiaTheme="minorEastAsia" w:cstheme="minorEastAsia"/>
          <w:b w:val="0"/>
          <w:bCs w:val="0"/>
          <w:kern w:val="2"/>
          <w:sz w:val="24"/>
          <w:szCs w:val="24"/>
          <w:highlight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rPr>
          <w:rStyle w:val="21"/>
          <w:rFonts w:hint="eastAsia" w:ascii="宋体" w:hAnsi="宋体" w:eastAsia="宋体" w:cs="宋体"/>
          <w:b/>
          <w:bCs/>
          <w:sz w:val="28"/>
          <w:szCs w:val="28"/>
          <w:highlight w:val="none"/>
          <w:lang w:val="en-US" w:eastAsia="zh-CN"/>
        </w:rPr>
      </w:pPr>
    </w:p>
    <w:p>
      <w:pPr>
        <w:pStyle w:val="5"/>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adjustRightInd w:val="0"/>
        <w:snapToGrid w:val="0"/>
        <w:spacing w:line="360" w:lineRule="auto"/>
        <w:ind w:right="-10" w:firstLine="420" w:firstLineChars="175"/>
        <w:rPr>
          <w:rFonts w:hint="eastAsia" w:hAnsi="宋体" w:cs="宋体"/>
          <w:bCs/>
          <w:sz w:val="24"/>
          <w:szCs w:val="24"/>
          <w:highlight w:val="none"/>
          <w:lang w:val="en-US" w:eastAsia="zh-CN"/>
        </w:rPr>
      </w:pPr>
      <w:r>
        <w:rPr>
          <w:rFonts w:hint="eastAsia" w:hAnsi="宋体" w:cs="宋体"/>
          <w:bCs/>
          <w:sz w:val="24"/>
          <w:szCs w:val="24"/>
          <w:highlight w:val="none"/>
          <w:lang w:val="en-US" w:eastAsia="zh-CN"/>
        </w:rPr>
        <w:t>3、本项目采用综合评估法，以固定总价（本项目定价27万元）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keepNext/>
        <w:keepLines/>
        <w:spacing w:before="120" w:after="120" w:line="360" w:lineRule="auto"/>
        <w:jc w:val="both"/>
        <w:outlineLvl w:val="2"/>
        <w:rPr>
          <w:rFonts w:hint="eastAsia" w:ascii="Times New Roman" w:hAnsi="Times New Roman" w:eastAsia="黑体"/>
          <w:bCs/>
          <w:sz w:val="24"/>
          <w:szCs w:val="24"/>
          <w:highlight w:val="none"/>
          <w:lang w:val="en-US" w:eastAsia="zh-CN"/>
        </w:rPr>
      </w:pPr>
      <w:r>
        <w:rPr>
          <w:rFonts w:hint="eastAsia" w:ascii="Times New Roman" w:hAnsi="Times New Roman" w:eastAsia="黑体"/>
          <w:bCs/>
          <w:sz w:val="24"/>
          <w:szCs w:val="24"/>
          <w:highlight w:val="none"/>
          <w:lang w:val="en-US" w:eastAsia="zh-CN"/>
        </w:rPr>
        <w:t>5、对通过初审的单位进行详细评审</w:t>
      </w:r>
    </w:p>
    <w:tbl>
      <w:tblPr>
        <w:tblStyle w:val="17"/>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409"/>
        <w:gridCol w:w="1317"/>
        <w:gridCol w:w="743"/>
        <w:gridCol w:w="649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07"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kern w:val="0"/>
                <w:szCs w:val="21"/>
              </w:rPr>
            </w:pPr>
            <w:r>
              <w:rPr>
                <w:rFonts w:hint="eastAsia"/>
                <w:kern w:val="0"/>
                <w:szCs w:val="21"/>
              </w:rPr>
              <w:t>评审因素</w:t>
            </w:r>
          </w:p>
        </w:tc>
        <w:tc>
          <w:tcPr>
            <w:tcW w:w="4292" w:type="pct"/>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kern w:val="0"/>
                <w:szCs w:val="21"/>
              </w:rPr>
            </w:pPr>
            <w:r>
              <w:rPr>
                <w:rFonts w:hint="eastAsia"/>
                <w:kern w:val="0"/>
                <w:szCs w:val="21"/>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707" w:type="pct"/>
            <w:vMerge w:val="restart"/>
            <w:tcBorders>
              <w:top w:val="single" w:color="auto" w:sz="4" w:space="0"/>
              <w:right w:val="single" w:color="auto" w:sz="4" w:space="0"/>
            </w:tcBorders>
            <w:vAlign w:val="center"/>
          </w:tcPr>
          <w:p>
            <w:pPr>
              <w:spacing w:line="360" w:lineRule="auto"/>
              <w:jc w:val="center"/>
              <w:rPr>
                <w:rFonts w:ascii="仿宋" w:hAnsi="仿宋" w:eastAsia="仿宋"/>
                <w:szCs w:val="21"/>
              </w:rPr>
            </w:pPr>
            <w:r>
              <w:rPr>
                <w:rFonts w:hint="eastAsia"/>
                <w:kern w:val="0"/>
                <w:szCs w:val="21"/>
              </w:rPr>
              <w:t>商务评分标准3</w:t>
            </w:r>
            <w:r>
              <w:rPr>
                <w:kern w:val="0"/>
                <w:szCs w:val="21"/>
              </w:rPr>
              <w:t>0</w:t>
            </w:r>
            <w:r>
              <w:rPr>
                <w:rFonts w:hint="eastAsia"/>
                <w:kern w:val="0"/>
                <w:szCs w:val="21"/>
              </w:rPr>
              <w:t>分</w:t>
            </w:r>
          </w:p>
        </w:tc>
        <w:tc>
          <w:tcPr>
            <w:tcW w:w="66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bCs/>
                <w:szCs w:val="21"/>
              </w:rPr>
            </w:pPr>
            <w:r>
              <w:rPr>
                <w:rFonts w:hint="eastAsia" w:ascii="宋体" w:hAnsi="宋体"/>
                <w:bCs/>
                <w:szCs w:val="21"/>
              </w:rPr>
              <w:t>参审单位业绩</w:t>
            </w:r>
          </w:p>
        </w:tc>
        <w:tc>
          <w:tcPr>
            <w:tcW w:w="373" w:type="pct"/>
            <w:tcBorders>
              <w:top w:val="single" w:color="auto" w:sz="4" w:space="0"/>
              <w:left w:val="single" w:color="auto" w:sz="4" w:space="0"/>
              <w:bottom w:val="single" w:color="auto" w:sz="4" w:space="0"/>
              <w:right w:val="single" w:color="auto" w:sz="4" w:space="0"/>
            </w:tcBorders>
            <w:vAlign w:val="center"/>
          </w:tcPr>
          <w:p>
            <w:pPr>
              <w:rPr>
                <w:szCs w:val="21"/>
              </w:rPr>
            </w:pPr>
            <w:r>
              <w:rPr>
                <w:rFonts w:hint="eastAsia"/>
                <w:szCs w:val="21"/>
              </w:rPr>
              <w:t>1</w:t>
            </w:r>
            <w:r>
              <w:rPr>
                <w:szCs w:val="21"/>
              </w:rPr>
              <w:t>2</w:t>
            </w:r>
            <w:r>
              <w:rPr>
                <w:rFonts w:hint="eastAsia"/>
                <w:szCs w:val="21"/>
              </w:rPr>
              <w:t>分</w:t>
            </w:r>
          </w:p>
        </w:tc>
        <w:tc>
          <w:tcPr>
            <w:tcW w:w="3257" w:type="pct"/>
            <w:tcBorders>
              <w:top w:val="single" w:color="auto" w:sz="4" w:space="0"/>
              <w:left w:val="single" w:color="auto" w:sz="4" w:space="0"/>
              <w:bottom w:val="single" w:color="auto" w:sz="4" w:space="0"/>
              <w:right w:val="single" w:color="auto" w:sz="4" w:space="0"/>
            </w:tcBorders>
            <w:vAlign w:val="center"/>
          </w:tcPr>
          <w:p>
            <w:pPr>
              <w:spacing w:line="420" w:lineRule="exact"/>
              <w:rPr>
                <w:rFonts w:hint="eastAsia" w:ascii="宋体" w:hAnsi="宋体"/>
                <w:sz w:val="21"/>
                <w:szCs w:val="21"/>
                <w:highlight w:val="none"/>
                <w:lang w:val="en-US" w:eastAsia="zh-CN"/>
              </w:rPr>
            </w:pPr>
            <w:r>
              <w:rPr>
                <w:rFonts w:hint="eastAsia" w:ascii="宋体" w:hAnsi="宋体"/>
                <w:kern w:val="0"/>
                <w:szCs w:val="21"/>
                <w:highlight w:val="none"/>
                <w:lang w:eastAsia="zh-CN"/>
              </w:rPr>
              <w:t>参审单位</w:t>
            </w:r>
            <w:r>
              <w:rPr>
                <w:rFonts w:hint="eastAsia" w:ascii="宋体" w:hAnsi="宋体"/>
                <w:sz w:val="21"/>
                <w:szCs w:val="21"/>
                <w:highlight w:val="none"/>
                <w:lang w:val="en-US" w:eastAsia="zh-CN"/>
              </w:rPr>
              <w:t>1、2018年1月1日以来（时间以合同签订时间为准），具有投资额</w:t>
            </w:r>
            <w:r>
              <w:rPr>
                <w:rFonts w:hint="eastAsia" w:ascii="宋体" w:hAnsi="宋体"/>
                <w:sz w:val="21"/>
                <w:szCs w:val="21"/>
                <w:highlight w:val="none"/>
              </w:rPr>
              <w:t>不低于</w:t>
            </w:r>
            <w:r>
              <w:rPr>
                <w:rFonts w:hint="eastAsia" w:ascii="宋体" w:hAnsi="宋体"/>
                <w:sz w:val="21"/>
                <w:szCs w:val="21"/>
                <w:highlight w:val="none"/>
                <w:lang w:val="en-US" w:eastAsia="zh-CN"/>
              </w:rPr>
              <w:t>1000</w:t>
            </w:r>
            <w:r>
              <w:rPr>
                <w:rFonts w:hint="eastAsia" w:ascii="宋体" w:hAnsi="宋体"/>
                <w:sz w:val="21"/>
                <w:szCs w:val="21"/>
                <w:highlight w:val="none"/>
              </w:rPr>
              <w:t>万元的</w:t>
            </w:r>
            <w:r>
              <w:rPr>
                <w:rFonts w:hint="eastAsia" w:ascii="宋体" w:hAnsi="宋体"/>
                <w:sz w:val="21"/>
                <w:szCs w:val="21"/>
                <w:highlight w:val="none"/>
                <w:lang w:val="en-US" w:eastAsia="zh-CN"/>
              </w:rPr>
              <w:t>房屋建筑</w:t>
            </w:r>
            <w:r>
              <w:rPr>
                <w:rFonts w:hint="eastAsia" w:ascii="宋体" w:hAnsi="宋体"/>
                <w:sz w:val="21"/>
                <w:szCs w:val="21"/>
                <w:highlight w:val="none"/>
              </w:rPr>
              <w:t>工程</w:t>
            </w:r>
            <w:r>
              <w:rPr>
                <w:rFonts w:hint="eastAsia" w:ascii="宋体" w:hAnsi="宋体"/>
                <w:sz w:val="21"/>
                <w:szCs w:val="21"/>
                <w:highlight w:val="none"/>
                <w:lang w:val="en-US" w:eastAsia="zh-CN"/>
              </w:rPr>
              <w:t>设计业绩。每个得6分，满分12分。</w:t>
            </w:r>
          </w:p>
          <w:p>
            <w:pPr>
              <w:jc w:val="left"/>
              <w:textAlignment w:val="baseline"/>
              <w:rPr>
                <w:highlight w:val="yellow"/>
              </w:rPr>
            </w:pPr>
            <w:r>
              <w:rPr>
                <w:rFonts w:hint="eastAsia" w:ascii="宋体" w:hAnsi="宋体"/>
                <w:sz w:val="21"/>
                <w:szCs w:val="21"/>
                <w:highlight w:val="none"/>
                <w:lang w:val="en-US" w:eastAsia="zh-CN"/>
              </w:rPr>
              <w:t>备注：</w:t>
            </w:r>
            <w:r>
              <w:rPr>
                <w:rFonts w:hint="eastAsia" w:hAnsi="宋体"/>
                <w:kern w:val="0"/>
                <w:sz w:val="21"/>
                <w:szCs w:val="21"/>
                <w:highlight w:val="yellow"/>
              </w:rPr>
              <w:t>（注：本项中涉及的项目指201</w:t>
            </w:r>
            <w:r>
              <w:rPr>
                <w:rFonts w:hint="eastAsia" w:hAnsi="宋体"/>
                <w:kern w:val="0"/>
                <w:sz w:val="21"/>
                <w:szCs w:val="21"/>
                <w:highlight w:val="yellow"/>
                <w:lang w:val="en-US" w:eastAsia="zh-CN"/>
              </w:rPr>
              <w:t>8</w:t>
            </w:r>
            <w:r>
              <w:rPr>
                <w:rFonts w:hint="eastAsia" w:hAnsi="宋体"/>
                <w:kern w:val="0"/>
                <w:sz w:val="21"/>
                <w:szCs w:val="21"/>
                <w:highlight w:val="yellow"/>
              </w:rPr>
              <w:t>年1月1日至今，以合同签订日期为准，要求提供合同关键页扫描件作为业绩证明资料，无证明资料或专家无法判断是否得分的业绩，一律作不得分处理。）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707" w:type="pct"/>
            <w:vMerge w:val="continue"/>
            <w:tcBorders>
              <w:top w:val="single" w:color="auto" w:sz="4" w:space="0"/>
              <w:right w:val="single" w:color="auto" w:sz="4" w:space="0"/>
            </w:tcBorders>
            <w:vAlign w:val="center"/>
          </w:tcPr>
          <w:p>
            <w:pPr>
              <w:spacing w:line="360" w:lineRule="auto"/>
              <w:jc w:val="center"/>
              <w:rPr>
                <w:rFonts w:ascii="仿宋" w:hAnsi="仿宋" w:eastAsia="仿宋"/>
                <w:szCs w:val="21"/>
              </w:rPr>
            </w:pPr>
          </w:p>
        </w:tc>
        <w:tc>
          <w:tcPr>
            <w:tcW w:w="66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hint="eastAsia" w:ascii="宋体" w:hAnsi="宋体" w:eastAsia="宋体"/>
                <w:bCs/>
                <w:szCs w:val="21"/>
                <w:lang w:val="en-US" w:eastAsia="zh-CN"/>
              </w:rPr>
            </w:pPr>
            <w:r>
              <w:rPr>
                <w:rFonts w:hint="eastAsia" w:ascii="宋体" w:hAnsi="宋体"/>
                <w:bCs/>
                <w:szCs w:val="21"/>
                <w:lang w:val="en-US" w:eastAsia="zh-CN"/>
              </w:rPr>
              <w:t>信用分</w:t>
            </w:r>
          </w:p>
        </w:tc>
        <w:tc>
          <w:tcPr>
            <w:tcW w:w="373" w:type="pct"/>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szCs w:val="21"/>
              </w:rPr>
            </w:pPr>
            <w:r>
              <w:rPr>
                <w:rFonts w:ascii="宋体" w:hAnsi="宋体"/>
                <w:szCs w:val="21"/>
              </w:rPr>
              <w:t>8</w:t>
            </w:r>
            <w:r>
              <w:rPr>
                <w:rFonts w:hint="eastAsia" w:ascii="宋体" w:hAnsi="宋体"/>
                <w:szCs w:val="21"/>
              </w:rPr>
              <w:t>分</w:t>
            </w:r>
          </w:p>
        </w:tc>
        <w:tc>
          <w:tcPr>
            <w:tcW w:w="3257" w:type="pct"/>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hint="eastAsia"/>
                <w:highlight w:val="yellow"/>
                <w:lang w:eastAsia="zh-CN"/>
              </w:rPr>
            </w:pPr>
            <w:r>
              <w:rPr>
                <w:rFonts w:hint="eastAsia"/>
                <w:highlight w:val="yellow"/>
                <w:lang w:eastAsia="zh-CN"/>
              </w:rPr>
              <w:t>1、投标人获得合肥市勘察设计企业信用评价结果建筑工程设计企业信用等级情况:</w:t>
            </w:r>
          </w:p>
          <w:p>
            <w:pPr>
              <w:widowControl/>
              <w:spacing w:line="360" w:lineRule="auto"/>
              <w:jc w:val="left"/>
              <w:rPr>
                <w:rFonts w:hint="eastAsia"/>
                <w:highlight w:val="yellow"/>
                <w:lang w:eastAsia="zh-CN"/>
              </w:rPr>
            </w:pPr>
            <w:r>
              <w:rPr>
                <w:rFonts w:hint="eastAsia"/>
                <w:highlight w:val="yellow"/>
                <w:lang w:eastAsia="zh-CN"/>
              </w:rPr>
              <w:t xml:space="preserve">A 级的，得 </w:t>
            </w:r>
            <w:r>
              <w:rPr>
                <w:rFonts w:hint="eastAsia"/>
                <w:highlight w:val="yellow"/>
                <w:lang w:val="en-US" w:eastAsia="zh-CN"/>
              </w:rPr>
              <w:t>8</w:t>
            </w:r>
            <w:r>
              <w:rPr>
                <w:rFonts w:hint="eastAsia"/>
                <w:highlight w:val="yellow"/>
                <w:lang w:eastAsia="zh-CN"/>
              </w:rPr>
              <w:t>分;</w:t>
            </w:r>
          </w:p>
          <w:p>
            <w:pPr>
              <w:widowControl/>
              <w:spacing w:line="360" w:lineRule="auto"/>
              <w:jc w:val="left"/>
              <w:rPr>
                <w:rFonts w:hint="eastAsia"/>
                <w:highlight w:val="yellow"/>
                <w:lang w:eastAsia="zh-CN"/>
              </w:rPr>
            </w:pPr>
            <w:r>
              <w:rPr>
                <w:rFonts w:hint="eastAsia"/>
                <w:highlight w:val="yellow"/>
                <w:lang w:eastAsia="zh-CN"/>
              </w:rPr>
              <w:t>B 级的，得</w:t>
            </w:r>
            <w:r>
              <w:rPr>
                <w:rFonts w:hint="eastAsia"/>
                <w:highlight w:val="yellow"/>
                <w:lang w:val="en-US" w:eastAsia="zh-CN"/>
              </w:rPr>
              <w:t>4</w:t>
            </w:r>
            <w:r>
              <w:rPr>
                <w:rFonts w:hint="eastAsia"/>
                <w:highlight w:val="yellow"/>
                <w:lang w:eastAsia="zh-CN"/>
              </w:rPr>
              <w:t>分;</w:t>
            </w:r>
          </w:p>
          <w:p>
            <w:pPr>
              <w:widowControl/>
              <w:spacing w:line="360" w:lineRule="auto"/>
              <w:jc w:val="left"/>
              <w:rPr>
                <w:rFonts w:hint="eastAsia"/>
                <w:highlight w:val="yellow"/>
                <w:lang w:eastAsia="zh-CN"/>
              </w:rPr>
            </w:pPr>
            <w:r>
              <w:rPr>
                <w:rFonts w:hint="eastAsia"/>
                <w:highlight w:val="yellow"/>
                <w:lang w:eastAsia="zh-CN"/>
              </w:rPr>
              <w:t>其余等级或未获得信用评价等级，不得分。</w:t>
            </w:r>
          </w:p>
          <w:p>
            <w:pPr>
              <w:widowControl/>
              <w:spacing w:line="360" w:lineRule="auto"/>
              <w:jc w:val="left"/>
              <w:rPr>
                <w:rFonts w:hint="eastAsia"/>
                <w:highlight w:val="yellow"/>
                <w:lang w:eastAsia="zh-CN"/>
              </w:rPr>
            </w:pPr>
            <w:r>
              <w:rPr>
                <w:rFonts w:hint="eastAsia"/>
                <w:highlight w:val="yellow"/>
                <w:lang w:eastAsia="zh-CN"/>
              </w:rPr>
              <w:t>注: (1) 合肥市勘察设计企业信用等级评价中评价等级确认方式如下:采用投标截止时间前，合肥市城乡建设局官网发布的合肥市建筑工程设计企业或工程勘察企业信用等级综合评价结果(不含结果的公示) 最新年度的评价等级中较高等级确定。</w:t>
            </w:r>
          </w:p>
          <w:p>
            <w:pPr>
              <w:widowControl/>
              <w:spacing w:line="360" w:lineRule="auto"/>
              <w:jc w:val="left"/>
              <w:rPr>
                <w:highlight w:val="yellow"/>
              </w:rPr>
            </w:pPr>
            <w:r>
              <w:rPr>
                <w:rFonts w:hint="eastAsia"/>
                <w:highlight w:val="yellow"/>
                <w:lang w:eastAsia="zh-CN"/>
              </w:rPr>
              <w:t>(2) 投标人按照第六章投标文件格式提供信用评价等级承诺，如未提供信用评价等级承诺或提供的信用评价等级承诺与投标人实际信用不符的，不予加分，评标时评标委员会保留现场核查权利。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707" w:type="pct"/>
            <w:vMerge w:val="continue"/>
            <w:tcBorders>
              <w:top w:val="single" w:color="auto" w:sz="4" w:space="0"/>
              <w:right w:val="single" w:color="auto" w:sz="4" w:space="0"/>
            </w:tcBorders>
            <w:vAlign w:val="center"/>
          </w:tcPr>
          <w:p>
            <w:pPr>
              <w:spacing w:line="360" w:lineRule="auto"/>
              <w:jc w:val="center"/>
              <w:rPr>
                <w:rFonts w:ascii="仿宋" w:hAnsi="仿宋" w:eastAsia="仿宋"/>
                <w:szCs w:val="21"/>
              </w:rPr>
            </w:pPr>
          </w:p>
        </w:tc>
        <w:tc>
          <w:tcPr>
            <w:tcW w:w="661"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Cs w:val="21"/>
              </w:rPr>
            </w:pPr>
            <w:r>
              <w:rPr>
                <w:rFonts w:hint="eastAsia" w:ascii="宋体" w:hAnsi="宋体" w:cs="宋体"/>
                <w:szCs w:val="21"/>
              </w:rPr>
              <w:t>项目负责人</w:t>
            </w:r>
            <w:r>
              <w:rPr>
                <w:rFonts w:hint="eastAsia" w:ascii="宋体" w:hAnsi="宋体" w:cs="宋体"/>
                <w:szCs w:val="21"/>
                <w:lang w:eastAsia="zh-CN"/>
              </w:rPr>
              <w:t>证书及</w:t>
            </w:r>
            <w:r>
              <w:rPr>
                <w:rFonts w:hint="eastAsia" w:ascii="宋体" w:hAnsi="宋体" w:cs="宋体"/>
                <w:szCs w:val="21"/>
              </w:rPr>
              <w:t>业绩</w:t>
            </w:r>
          </w:p>
        </w:tc>
        <w:tc>
          <w:tcPr>
            <w:tcW w:w="373"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szCs w:val="21"/>
              </w:rPr>
            </w:pPr>
            <w:r>
              <w:rPr>
                <w:rFonts w:ascii="宋体" w:hAnsi="宋体" w:cs="宋体"/>
                <w:szCs w:val="21"/>
              </w:rPr>
              <w:t>10</w:t>
            </w:r>
            <w:r>
              <w:rPr>
                <w:rFonts w:hint="eastAsia" w:ascii="宋体" w:hAnsi="宋体" w:cs="宋体"/>
                <w:szCs w:val="21"/>
              </w:rPr>
              <w:t>分</w:t>
            </w:r>
          </w:p>
        </w:tc>
        <w:tc>
          <w:tcPr>
            <w:tcW w:w="3257" w:type="pct"/>
            <w:tcBorders>
              <w:top w:val="single" w:color="auto" w:sz="4" w:space="0"/>
              <w:left w:val="single" w:color="auto" w:sz="4" w:space="0"/>
              <w:bottom w:val="single" w:color="auto" w:sz="4" w:space="0"/>
              <w:right w:val="single" w:color="auto" w:sz="4" w:space="0"/>
            </w:tcBorders>
            <w:vAlign w:val="center"/>
          </w:tcPr>
          <w:p>
            <w:pPr>
              <w:jc w:val="left"/>
              <w:textAlignment w:val="baseline"/>
              <w:rPr>
                <w:rFonts w:ascii="宋体" w:hAnsi="宋体"/>
                <w:bCs/>
                <w:sz w:val="20"/>
                <w:szCs w:val="21"/>
                <w:highlight w:val="yellow"/>
              </w:rPr>
            </w:pPr>
            <w:r>
              <w:rPr>
                <w:rFonts w:hint="eastAsia" w:ascii="宋体" w:hAnsi="宋体"/>
                <w:bCs/>
                <w:szCs w:val="21"/>
                <w:highlight w:val="yellow"/>
                <w:lang w:eastAsia="zh-CN"/>
              </w:rPr>
              <w:t>参审单位</w:t>
            </w:r>
            <w:r>
              <w:rPr>
                <w:rFonts w:hint="eastAsia" w:ascii="宋体" w:hAnsi="宋体"/>
                <w:bCs/>
                <w:szCs w:val="21"/>
                <w:highlight w:val="yellow"/>
              </w:rPr>
              <w:t>为本项目配备的项目负责人：</w:t>
            </w:r>
          </w:p>
          <w:p>
            <w:pPr>
              <w:numPr>
                <w:ilvl w:val="0"/>
                <w:numId w:val="4"/>
              </w:numPr>
              <w:jc w:val="left"/>
              <w:textAlignment w:val="baseline"/>
              <w:rPr>
                <w:rFonts w:hint="eastAsia" w:ascii="宋体" w:hAnsi="宋体"/>
                <w:bCs/>
                <w:szCs w:val="21"/>
                <w:highlight w:val="yellow"/>
              </w:rPr>
            </w:pPr>
            <w:r>
              <w:rPr>
                <w:rFonts w:hint="eastAsia" w:ascii="宋体" w:hAnsi="宋体"/>
                <w:bCs/>
                <w:szCs w:val="21"/>
                <w:highlight w:val="yellow"/>
              </w:rPr>
              <w:t>项目负责人具备</w:t>
            </w:r>
            <w:r>
              <w:rPr>
                <w:rFonts w:hint="eastAsia" w:ascii="宋体" w:hAnsi="宋体"/>
                <w:bCs/>
                <w:szCs w:val="21"/>
                <w:highlight w:val="yellow"/>
                <w:lang w:eastAsia="zh-CN"/>
              </w:rPr>
              <w:t>正</w:t>
            </w:r>
            <w:r>
              <w:rPr>
                <w:rFonts w:hint="eastAsia" w:ascii="宋体" w:hAnsi="宋体"/>
                <w:bCs/>
                <w:szCs w:val="21"/>
                <w:highlight w:val="yellow"/>
              </w:rPr>
              <w:t>高级</w:t>
            </w:r>
            <w:r>
              <w:rPr>
                <w:rFonts w:hint="eastAsia" w:ascii="宋体" w:hAnsi="宋体"/>
                <w:bCs/>
                <w:szCs w:val="21"/>
                <w:highlight w:val="yellow"/>
                <w:lang w:eastAsia="zh-CN"/>
              </w:rPr>
              <w:t>工程师以上</w:t>
            </w:r>
            <w:r>
              <w:rPr>
                <w:rFonts w:hint="eastAsia" w:ascii="宋体" w:hAnsi="宋体"/>
                <w:bCs/>
                <w:szCs w:val="21"/>
                <w:highlight w:val="yellow"/>
              </w:rPr>
              <w:t>职称资格的，得</w:t>
            </w:r>
            <w:r>
              <w:rPr>
                <w:rFonts w:hint="eastAsia" w:ascii="宋体" w:hAnsi="宋体"/>
                <w:bCs/>
                <w:szCs w:val="21"/>
                <w:highlight w:val="yellow"/>
                <w:lang w:val="en-US" w:eastAsia="zh-CN"/>
              </w:rPr>
              <w:t>10</w:t>
            </w:r>
            <w:r>
              <w:rPr>
                <w:rFonts w:hint="eastAsia" w:ascii="宋体" w:hAnsi="宋体"/>
                <w:bCs/>
                <w:szCs w:val="21"/>
                <w:highlight w:val="yellow"/>
              </w:rPr>
              <w:t>分；项目负责人具备高级工程师职称资格的，得</w:t>
            </w:r>
            <w:r>
              <w:rPr>
                <w:rFonts w:hint="eastAsia" w:ascii="宋体" w:hAnsi="宋体"/>
                <w:bCs/>
                <w:szCs w:val="21"/>
                <w:highlight w:val="yellow"/>
                <w:lang w:val="en-US" w:eastAsia="zh-CN"/>
              </w:rPr>
              <w:t>5</w:t>
            </w:r>
            <w:r>
              <w:rPr>
                <w:rFonts w:hint="eastAsia" w:ascii="宋体" w:hAnsi="宋体"/>
                <w:bCs/>
                <w:szCs w:val="21"/>
                <w:highlight w:val="yellow"/>
              </w:rPr>
              <w:t>分；</w:t>
            </w:r>
          </w:p>
          <w:p>
            <w:pPr>
              <w:spacing w:line="320" w:lineRule="exact"/>
              <w:textAlignment w:val="baseline"/>
              <w:rPr>
                <w:rFonts w:ascii="宋体" w:hAnsi="宋体"/>
                <w:bCs/>
                <w:sz w:val="20"/>
                <w:szCs w:val="21"/>
                <w:highlight w:val="yellow"/>
              </w:rPr>
            </w:pPr>
            <w:r>
              <w:rPr>
                <w:rFonts w:hint="eastAsia" w:ascii="宋体" w:hAnsi="宋体"/>
                <w:bCs/>
                <w:szCs w:val="21"/>
                <w:highlight w:val="yellow"/>
              </w:rPr>
              <w:t>（注：</w:t>
            </w:r>
            <w:r>
              <w:rPr>
                <w:rFonts w:hint="eastAsia" w:ascii="宋体" w:hAnsi="宋体"/>
                <w:bCs/>
                <w:szCs w:val="21"/>
                <w:highlight w:val="yellow"/>
                <w:lang w:eastAsia="zh-CN"/>
              </w:rPr>
              <w:t>参审单位</w:t>
            </w:r>
            <w:r>
              <w:rPr>
                <w:rFonts w:hint="eastAsia" w:ascii="宋体" w:hAnsi="宋体"/>
                <w:bCs/>
                <w:szCs w:val="21"/>
                <w:highlight w:val="yellow"/>
              </w:rPr>
              <w:t>需提供项目负责人近半年内任意三个月的社保证明文件，职称证书、获奖证书扫描件）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707" w:type="pct"/>
            <w:vMerge w:val="restart"/>
            <w:tcBorders>
              <w:top w:val="single" w:color="auto" w:sz="4" w:space="0"/>
              <w:right w:val="single" w:color="auto" w:sz="4" w:space="0"/>
            </w:tcBorders>
            <w:vAlign w:val="center"/>
          </w:tcPr>
          <w:p>
            <w:pPr>
              <w:spacing w:line="440" w:lineRule="exact"/>
              <w:jc w:val="center"/>
              <w:rPr>
                <w:kern w:val="0"/>
                <w:szCs w:val="21"/>
              </w:rPr>
            </w:pPr>
            <w:r>
              <w:rPr>
                <w:rFonts w:hint="eastAsia"/>
                <w:kern w:val="0"/>
                <w:szCs w:val="21"/>
              </w:rPr>
              <w:t>技术评分标准</w:t>
            </w:r>
            <w:r>
              <w:rPr>
                <w:kern w:val="0"/>
                <w:szCs w:val="21"/>
              </w:rPr>
              <w:t>70</w:t>
            </w:r>
            <w:r>
              <w:rPr>
                <w:rFonts w:hint="eastAsia"/>
                <w:kern w:val="0"/>
                <w:szCs w:val="21"/>
              </w:rPr>
              <w:t>分</w:t>
            </w:r>
          </w:p>
        </w:tc>
        <w:tc>
          <w:tcPr>
            <w:tcW w:w="661" w:type="pc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pPr>
            <w:r>
              <w:rPr>
                <w:rFonts w:hint="eastAsia"/>
              </w:rPr>
              <w:t>设计方案说明</w:t>
            </w:r>
          </w:p>
        </w:tc>
        <w:tc>
          <w:tcPr>
            <w:tcW w:w="373" w:type="pc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kern w:val="0"/>
                <w:szCs w:val="21"/>
              </w:rPr>
            </w:pPr>
            <w:r>
              <w:rPr>
                <w:rFonts w:ascii="宋体" w:hAnsi="宋体"/>
                <w:szCs w:val="21"/>
              </w:rPr>
              <w:t>30</w:t>
            </w:r>
            <w:r>
              <w:rPr>
                <w:rFonts w:hint="eastAsia" w:ascii="宋体" w:hAnsi="宋体"/>
                <w:szCs w:val="21"/>
              </w:rPr>
              <w:t>分</w:t>
            </w:r>
          </w:p>
        </w:tc>
        <w:tc>
          <w:tcPr>
            <w:tcW w:w="3257" w:type="pct"/>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kern w:val="0"/>
                <w:szCs w:val="21"/>
                <w:lang w:val="zh-CN" w:bidi="zh-CN"/>
              </w:rPr>
            </w:pPr>
            <w:r>
              <w:rPr>
                <w:rFonts w:hint="eastAsia" w:ascii="宋体" w:hAnsi="宋体"/>
                <w:bCs/>
                <w:szCs w:val="21"/>
                <w:lang w:eastAsia="zh-CN"/>
              </w:rPr>
              <w:t>参审单位</w:t>
            </w:r>
            <w:r>
              <w:t>结合对本项目的理解，进行创作思路阐述，结合效果图表现，初步方案寓意表达清晰，立意新颖，方案编制合理可行，线路清晰、准确、完整能充分反映设计意图。根据对比由评标委员会进行酌情打分，设计方案寓意表达清晰，立意新颖，方案编制合理可行，线路清晰、准确、完整能充分反映设计意图得25（含）-30分；设计方案寓意表达较清晰，立意新颖，方案编制较合理可行，线路清晰、准确、完整基本能反映设计意图得15（含）-25分；设计方案寓意表达较不清晰，方案编制合理性差、可行性差，线路无法反映设计意图得0-15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64" w:hRule="atLeast"/>
          <w:jc w:val="center"/>
        </w:trPr>
        <w:tc>
          <w:tcPr>
            <w:tcW w:w="707" w:type="pct"/>
            <w:vMerge w:val="continue"/>
            <w:tcBorders>
              <w:top w:val="single" w:color="auto" w:sz="4" w:space="0"/>
              <w:right w:val="single" w:color="auto" w:sz="4" w:space="0"/>
            </w:tcBorders>
            <w:vAlign w:val="center"/>
          </w:tcPr>
          <w:p>
            <w:pPr>
              <w:spacing w:line="360" w:lineRule="auto"/>
              <w:jc w:val="center"/>
              <w:rPr>
                <w:rFonts w:ascii="仿宋" w:hAnsi="仿宋" w:eastAsia="仿宋"/>
                <w:szCs w:val="21"/>
              </w:rPr>
            </w:pPr>
          </w:p>
        </w:tc>
        <w:tc>
          <w:tcPr>
            <w:tcW w:w="661" w:type="pct"/>
            <w:tcBorders>
              <w:top w:val="single" w:color="auto" w:sz="4" w:space="0"/>
              <w:left w:val="single" w:color="auto" w:sz="4" w:space="0"/>
              <w:bottom w:val="single" w:color="auto" w:sz="4" w:space="0"/>
              <w:right w:val="single" w:color="auto" w:sz="4" w:space="0"/>
            </w:tcBorders>
            <w:vAlign w:val="center"/>
          </w:tcPr>
          <w:p>
            <w:pPr>
              <w:widowControl/>
              <w:jc w:val="left"/>
              <w:rPr>
                <w:rFonts w:hint="eastAsia" w:hAnsi="宋体"/>
                <w:bCs/>
                <w:szCs w:val="21"/>
              </w:rPr>
            </w:pPr>
            <w:r>
              <w:rPr>
                <w:rFonts w:hint="eastAsia" w:hAnsi="宋体"/>
                <w:bCs/>
                <w:szCs w:val="21"/>
              </w:rPr>
              <w:t>设计方案的重点难点分析与解决</w:t>
            </w:r>
          </w:p>
        </w:tc>
        <w:tc>
          <w:tcPr>
            <w:tcW w:w="373" w:type="pct"/>
            <w:tcBorders>
              <w:top w:val="single" w:color="auto" w:sz="4" w:space="0"/>
              <w:left w:val="single" w:color="auto" w:sz="4" w:space="0"/>
              <w:bottom w:val="single" w:color="auto" w:sz="4" w:space="0"/>
              <w:right w:val="single" w:color="auto" w:sz="4" w:space="0"/>
            </w:tcBorders>
            <w:vAlign w:val="center"/>
          </w:tcPr>
          <w:p>
            <w:pPr>
              <w:widowControl/>
              <w:jc w:val="left"/>
              <w:rPr>
                <w:rFonts w:hAnsi="宋体"/>
                <w:bCs/>
                <w:szCs w:val="21"/>
              </w:rPr>
            </w:pPr>
            <w:r>
              <w:rPr>
                <w:rFonts w:hAnsi="宋体"/>
                <w:bCs/>
                <w:szCs w:val="21"/>
              </w:rPr>
              <w:t>2</w:t>
            </w:r>
            <w:r>
              <w:rPr>
                <w:rFonts w:hint="eastAsia" w:hAnsi="宋体"/>
                <w:bCs/>
                <w:szCs w:val="21"/>
              </w:rPr>
              <w:t>0分</w:t>
            </w:r>
          </w:p>
        </w:tc>
        <w:tc>
          <w:tcPr>
            <w:tcW w:w="3257" w:type="pct"/>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hAnsi="宋体"/>
                <w:bCs/>
                <w:szCs w:val="21"/>
              </w:rPr>
            </w:pPr>
            <w:r>
              <w:t>对本项目设计的重点、难点的分析全面、确切，重点突出，对策针对性强的得15(含）-20分；对本项目设计的重点、难点的分析一般，重点基本突出，对策针对性</w:t>
            </w:r>
            <w:r>
              <w:rPr>
                <w:rFonts w:hint="eastAsia"/>
              </w:rPr>
              <w:t>一般</w:t>
            </w:r>
            <w:r>
              <w:t>的得0(含）-15分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12" w:hRule="atLeast"/>
          <w:jc w:val="center"/>
        </w:trPr>
        <w:tc>
          <w:tcPr>
            <w:tcW w:w="707" w:type="pct"/>
            <w:vMerge w:val="continue"/>
            <w:tcBorders>
              <w:top w:val="single" w:color="auto" w:sz="4" w:space="0"/>
              <w:bottom w:val="single" w:color="auto" w:sz="4" w:space="0"/>
              <w:right w:val="single" w:color="auto" w:sz="4" w:space="0"/>
            </w:tcBorders>
            <w:vAlign w:val="center"/>
          </w:tcPr>
          <w:p>
            <w:pPr>
              <w:spacing w:line="360" w:lineRule="auto"/>
              <w:jc w:val="center"/>
              <w:rPr>
                <w:rFonts w:ascii="仿宋" w:hAnsi="仿宋" w:eastAsia="仿宋"/>
                <w:szCs w:val="21"/>
              </w:rPr>
            </w:pPr>
          </w:p>
        </w:tc>
        <w:tc>
          <w:tcPr>
            <w:tcW w:w="661" w:type="pc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szCs w:val="21"/>
              </w:rPr>
            </w:pPr>
            <w:r>
              <w:rPr>
                <w:rFonts w:hint="eastAsia" w:ascii="宋体" w:hAnsi="宋体"/>
              </w:rPr>
              <w:t>设计质量控制</w:t>
            </w:r>
          </w:p>
        </w:tc>
        <w:tc>
          <w:tcPr>
            <w:tcW w:w="373" w:type="pct"/>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Cs w:val="21"/>
              </w:rPr>
            </w:pPr>
            <w:r>
              <w:rPr>
                <w:rFonts w:ascii="宋体" w:hAnsi="宋体"/>
                <w:szCs w:val="21"/>
              </w:rPr>
              <w:t>20</w:t>
            </w:r>
            <w:r>
              <w:rPr>
                <w:rFonts w:hint="eastAsia" w:ascii="宋体" w:hAnsi="宋体"/>
                <w:szCs w:val="21"/>
              </w:rPr>
              <w:t>分</w:t>
            </w:r>
          </w:p>
        </w:tc>
        <w:tc>
          <w:tcPr>
            <w:tcW w:w="3257" w:type="pct"/>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pPr>
            <w:r>
              <w:t>根据对设计文件编制的全过程质量控制措施进行评价，质量控制措完善、可行性高得15(含）-20分；质量控制</w:t>
            </w:r>
            <w:r>
              <w:rPr>
                <w:rFonts w:hint="eastAsia"/>
              </w:rPr>
              <w:t>措施</w:t>
            </w:r>
            <w:r>
              <w:t>基本完善、可行性一般得0-15分。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5000" w:type="pct"/>
            <w:gridSpan w:val="4"/>
            <w:tcBorders>
              <w:top w:val="single" w:color="auto" w:sz="4" w:space="0"/>
              <w:right w:val="single" w:color="auto" w:sz="4" w:space="0"/>
            </w:tcBorders>
            <w:vAlign w:val="center"/>
          </w:tcPr>
          <w:p>
            <w:pPr>
              <w:widowControl/>
              <w:spacing w:line="360" w:lineRule="auto"/>
              <w:jc w:val="left"/>
              <w:rPr>
                <w:rFonts w:hint="eastAsia" w:eastAsia="宋体"/>
                <w:lang w:val="en-US" w:eastAsia="zh-CN"/>
              </w:rPr>
            </w:pPr>
            <w:r>
              <w:rPr>
                <w:rFonts w:hint="eastAsia"/>
                <w:lang w:val="en-US" w:eastAsia="zh-CN"/>
              </w:rPr>
              <w:t>备注：取所有评委打分的平均值。</w:t>
            </w:r>
          </w:p>
        </w:tc>
      </w:tr>
    </w:tbl>
    <w:p>
      <w:pPr>
        <w:adjustRightInd w:val="0"/>
        <w:snapToGrid w:val="0"/>
        <w:spacing w:line="360" w:lineRule="auto"/>
        <w:ind w:right="-10"/>
        <w:rPr>
          <w:rFonts w:hint="eastAsia" w:ascii="宋体" w:hAnsi="宋体" w:cs="宋体"/>
          <w:bCs/>
          <w:sz w:val="24"/>
          <w:szCs w:val="24"/>
          <w:highlight w:val="none"/>
          <w:lang w:eastAsia="zh-CN"/>
        </w:rPr>
      </w:pPr>
      <w:bookmarkStart w:id="4" w:name="_Toc17370"/>
      <w:r>
        <w:rPr>
          <w:rFonts w:hint="eastAsia" w:ascii="宋体" w:hAnsi="宋体" w:cs="宋体"/>
          <w:bCs/>
          <w:sz w:val="24"/>
          <w:szCs w:val="24"/>
          <w:highlight w:val="none"/>
          <w:lang w:val="en-US" w:eastAsia="zh-CN"/>
        </w:rPr>
        <w:t>6、</w:t>
      </w:r>
      <w:r>
        <w:rPr>
          <w:rFonts w:hint="eastAsia" w:ascii="宋体" w:hAnsi="宋体" w:cs="宋体"/>
          <w:bCs/>
          <w:sz w:val="24"/>
          <w:szCs w:val="24"/>
          <w:highlight w:val="none"/>
          <w:lang w:eastAsia="zh-CN"/>
        </w:rPr>
        <w:t>本项目采用综合评估法，以固定总价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numPr>
          <w:ilvl w:val="0"/>
          <w:numId w:val="0"/>
        </w:numPr>
        <w:adjustRightInd w:val="0"/>
        <w:snapToGrid w:val="0"/>
        <w:spacing w:line="360" w:lineRule="auto"/>
        <w:ind w:right="-10" w:rightChars="0"/>
        <w:rPr>
          <w:rFonts w:hint="eastAsia" w:ascii="宋体" w:hAnsi="宋体" w:cs="宋体"/>
          <w:bCs/>
          <w:sz w:val="24"/>
          <w:szCs w:val="24"/>
          <w:highlight w:val="none"/>
        </w:rPr>
      </w:pPr>
      <w:r>
        <w:rPr>
          <w:rFonts w:hint="eastAsia" w:ascii="宋体" w:hAnsi="宋体" w:cs="宋体"/>
          <w:bCs/>
          <w:sz w:val="24"/>
          <w:szCs w:val="24"/>
          <w:highlight w:val="none"/>
          <w:lang w:val="en-US" w:eastAsia="zh-CN"/>
        </w:rPr>
        <w:t>7、</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lang w:val="en-US" w:eastAsia="zh-CN"/>
        </w:rPr>
        <w:t>8</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lang w:val="en-US" w:eastAsia="zh-CN"/>
        </w:rPr>
        <w:t>9</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adjustRightInd w:val="0"/>
        <w:snapToGrid w:val="0"/>
        <w:spacing w:line="360" w:lineRule="auto"/>
        <w:ind w:right="-10" w:firstLine="420" w:firstLineChars="175"/>
        <w:jc w:val="center"/>
        <w:rPr>
          <w:rFonts w:hint="eastAsia" w:ascii="宋体" w:hAnsi="宋体" w:cs="宋体"/>
          <w:bCs/>
          <w:sz w:val="24"/>
          <w:szCs w:val="24"/>
          <w:highlight w:val="none"/>
        </w:rPr>
      </w:pPr>
    </w:p>
    <w:p>
      <w:pPr>
        <w:adjustRightInd w:val="0"/>
        <w:snapToGrid w:val="0"/>
        <w:spacing w:line="360" w:lineRule="auto"/>
        <w:ind w:right="-10" w:firstLine="490" w:firstLineChars="175"/>
        <w:jc w:val="center"/>
        <w:rPr>
          <w:rStyle w:val="21"/>
          <w:rFonts w:hint="eastAsia" w:ascii="宋体" w:hAnsi="宋体" w:eastAsia="宋体" w:cs="宋体"/>
          <w:b w:val="0"/>
          <w:bCs w:val="0"/>
          <w:sz w:val="28"/>
          <w:szCs w:val="28"/>
          <w:highlight w:val="none"/>
        </w:rPr>
      </w:pPr>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4"/>
    </w:p>
    <w:p>
      <w:pPr>
        <w:spacing w:before="156" w:beforeLines="50" w:after="93" w:afterLines="30" w:line="360" w:lineRule="auto"/>
        <w:rPr>
          <w:rFonts w:hint="eastAsia" w:ascii="宋体" w:hAnsi="宋体" w:cs="宋体"/>
          <w:sz w:val="24"/>
          <w:szCs w:val="24"/>
          <w:highlight w:val="none"/>
          <w:u w:val="single"/>
        </w:rPr>
      </w:pPr>
      <w:bookmarkStart w:id="5"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4"/>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5"/>
      <w:bookmarkStart w:id="6" w:name="_Hlt519045391"/>
      <w:bookmarkStart w:id="7" w:name="_Hlt509738509"/>
      <w:bookmarkStart w:id="8" w:name="_Hlt509738521"/>
    </w:p>
    <w:p>
      <w:pPr>
        <w:pStyle w:val="14"/>
        <w:rPr>
          <w:rFonts w:hint="eastAsia"/>
          <w:highlight w:val="none"/>
        </w:rPr>
      </w:pPr>
    </w:p>
    <w:p>
      <w:pPr>
        <w:jc w:val="center"/>
        <w:rPr>
          <w:rStyle w:val="20"/>
          <w:rFonts w:hint="eastAsia" w:ascii="宋体" w:hAnsi="宋体" w:cs="宋体"/>
          <w:sz w:val="44"/>
          <w:szCs w:val="44"/>
          <w:highlight w:val="none"/>
          <w:lang w:val="en-US" w:eastAsia="zh-CN"/>
        </w:rPr>
      </w:pPr>
      <w:r>
        <w:rPr>
          <w:rStyle w:val="20"/>
          <w:rFonts w:hint="eastAsia" w:ascii="宋体" w:hAnsi="宋体" w:cs="宋体"/>
          <w:sz w:val="44"/>
          <w:szCs w:val="44"/>
          <w:highlight w:val="none"/>
          <w:lang w:val="en-US" w:eastAsia="zh-CN"/>
        </w:rPr>
        <w:t>三河古镇研学游项目设计</w:t>
      </w:r>
    </w:p>
    <w:p>
      <w:pPr>
        <w:pStyle w:val="2"/>
        <w:rPr>
          <w:rFonts w:hint="eastAsia"/>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5"/>
        <w:rPr>
          <w:rFonts w:hint="eastAsia" w:cs="宋体"/>
          <w:sz w:val="28"/>
          <w:szCs w:val="28"/>
          <w:highlight w:val="none"/>
        </w:rPr>
      </w:pPr>
    </w:p>
    <w:p>
      <w:pPr>
        <w:pStyle w:val="6"/>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9" w:name="_Hlt509716873"/>
      <w:bookmarkEnd w:id="9"/>
      <w:bookmarkStart w:id="10" w:name="_Hlt519045798"/>
      <w:bookmarkEnd w:id="10"/>
      <w:bookmarkStart w:id="11" w:name="_Hlt533408916"/>
      <w:bookmarkEnd w:id="11"/>
      <w:bookmarkStart w:id="12" w:name="_Hlt533408409"/>
      <w:bookmarkEnd w:id="12"/>
      <w:bookmarkStart w:id="13" w:name="_Hlt533409360"/>
      <w:bookmarkEnd w:id="13"/>
      <w:bookmarkStart w:id="14" w:name="_Toc13084"/>
      <w:bookmarkStart w:id="15" w:name="_Toc516969097"/>
      <w:bookmarkStart w:id="16"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4"/>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5"/>
              <w:spacing w:before="120" w:beforeLines="0" w:line="360" w:lineRule="auto"/>
              <w:ind w:firstLine="0"/>
              <w:jc w:val="center"/>
              <w:rPr>
                <w:rFonts w:hint="eastAsia" w:ascii="宋体" w:hAnsi="宋体" w:cs="宋体"/>
                <w:bCs/>
                <w:sz w:val="28"/>
                <w:szCs w:val="28"/>
                <w:highlight w:val="none"/>
                <w:u w:val="single"/>
              </w:rPr>
            </w:pPr>
            <w:r>
              <w:rPr>
                <w:rStyle w:val="20"/>
                <w:rFonts w:hint="eastAsia" w:ascii="宋体" w:hAnsi="宋体" w:cs="宋体"/>
                <w:b w:val="0"/>
                <w:bCs w:val="0"/>
                <w:sz w:val="28"/>
                <w:szCs w:val="28"/>
                <w:highlight w:val="none"/>
                <w:lang w:val="en-US" w:eastAsia="zh-CN"/>
              </w:rPr>
              <w:t>三河古镇研学游项目设计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pStyle w:val="11"/>
        <w:rPr>
          <w:rFonts w:hint="eastAsia" w:ascii="宋体" w:hAnsi="宋体" w:cs="宋体"/>
          <w:b/>
          <w:sz w:val="28"/>
          <w:szCs w:val="28"/>
          <w:highlight w:val="none"/>
        </w:rPr>
      </w:pPr>
    </w:p>
    <w:p>
      <w:pPr>
        <w:pStyle w:val="11"/>
        <w:rPr>
          <w:rFonts w:hint="eastAsia" w:ascii="宋体" w:hAnsi="宋体" w:cs="宋体"/>
          <w:b/>
          <w:sz w:val="28"/>
          <w:szCs w:val="28"/>
          <w:highlight w:val="none"/>
        </w:rPr>
      </w:pPr>
    </w:p>
    <w:p>
      <w:pPr>
        <w:rPr>
          <w:rFonts w:hint="eastAsia" w:hAnsi="宋体" w:cs="宋体"/>
          <w:sz w:val="28"/>
          <w:szCs w:val="28"/>
          <w:highlight w:val="none"/>
        </w:rPr>
        <w:sectPr>
          <w:headerReference r:id="rId3" w:type="default"/>
          <w:footerReference r:id="rId4" w:type="default"/>
          <w:pgSz w:w="11907" w:h="16840"/>
          <w:pgMar w:top="1440" w:right="1080" w:bottom="1440" w:left="1080" w:header="851" w:footer="992" w:gutter="0"/>
          <w:pgNumType w:fmt="decimal" w:start="1"/>
          <w:cols w:space="720" w:num="1"/>
          <w:docGrid w:linePitch="303" w:charSpace="0"/>
        </w:sectPr>
      </w:pPr>
    </w:p>
    <w:bookmarkEnd w:id="15"/>
    <w:p>
      <w:pPr>
        <w:pStyle w:val="6"/>
        <w:spacing w:before="0" w:beforeLines="0" w:after="0" w:afterLines="0" w:line="440" w:lineRule="atLeast"/>
        <w:jc w:val="both"/>
        <w:rPr>
          <w:rFonts w:hint="eastAsia" w:ascii="宋体" w:hAnsi="宋体" w:eastAsia="宋体" w:cs="宋体"/>
          <w:b/>
          <w:bCs/>
          <w:color w:val="auto"/>
          <w:kern w:val="2"/>
          <w:sz w:val="28"/>
          <w:szCs w:val="28"/>
          <w:highlight w:val="none"/>
          <w:lang w:val="en-US" w:eastAsia="zh-CN" w:bidi="ar-SA"/>
        </w:rPr>
      </w:pPr>
      <w:bookmarkStart w:id="17" w:name="_Toc6245"/>
      <w:bookmarkStart w:id="18" w:name="_Toc500337339"/>
      <w:bookmarkStart w:id="19" w:name="_Toc19990"/>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7"/>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0" w:name="_Toc535241084"/>
      <w:bookmarkStart w:id="21" w:name="_Toc535241227"/>
      <w:bookmarkStart w:id="22" w:name="_Toc535241130"/>
      <w:bookmarkStart w:id="23" w:name="_Toc224103497"/>
      <w:bookmarkStart w:id="24" w:name="_Toc224103498"/>
      <w:r>
        <w:rPr>
          <w:color w:val="auto"/>
          <w:sz w:val="32"/>
          <w:szCs w:val="32"/>
          <w:highlight w:val="none"/>
        </w:rPr>
        <w:br w:type="page"/>
      </w:r>
      <w:r>
        <w:rPr>
          <w:rFonts w:hint="eastAsia" w:ascii="黑体" w:hAnsi="黑体" w:eastAsia="黑体"/>
          <w:bCs/>
          <w:color w:val="auto"/>
          <w:sz w:val="24"/>
          <w:highlight w:val="none"/>
        </w:rPr>
        <w:t>授权委托书</w:t>
      </w:r>
      <w:bookmarkEnd w:id="20"/>
      <w:bookmarkEnd w:id="21"/>
      <w:bookmarkEnd w:id="22"/>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2"/>
        <w:rPr>
          <w:rFonts w:hint="eastAsia" w:ascii="宋体" w:hAnsi="宋体"/>
          <w:color w:val="auto"/>
          <w:szCs w:val="21"/>
          <w:highlight w:val="none"/>
        </w:rPr>
      </w:pPr>
    </w:p>
    <w:p>
      <w:pPr>
        <w:pStyle w:val="3"/>
        <w:rPr>
          <w:rFonts w:hint="eastAsia" w:ascii="宋体" w:hAnsi="宋体"/>
          <w:color w:val="auto"/>
          <w:szCs w:val="21"/>
          <w:highlight w:val="none"/>
        </w:rPr>
      </w:pPr>
    </w:p>
    <w:p>
      <w:pPr>
        <w:rPr>
          <w:rFonts w:hint="eastAsia" w:ascii="宋体" w:hAnsi="宋体"/>
          <w:color w:val="auto"/>
          <w:szCs w:val="21"/>
          <w:highlight w:val="none"/>
        </w:rPr>
      </w:pPr>
    </w:p>
    <w:p>
      <w:pPr>
        <w:pStyle w:val="2"/>
        <w:rPr>
          <w:rFonts w:hint="eastAsia" w:ascii="宋体" w:hAnsi="宋体"/>
          <w:color w:val="auto"/>
          <w:szCs w:val="21"/>
          <w:highlight w:val="none"/>
        </w:rPr>
      </w:pPr>
    </w:p>
    <w:p>
      <w:pPr>
        <w:pStyle w:val="3"/>
        <w:rPr>
          <w:rFonts w:hint="eastAsia" w:ascii="宋体" w:hAnsi="宋体"/>
          <w:color w:val="auto"/>
          <w:szCs w:val="21"/>
          <w:highlight w:val="none"/>
        </w:rPr>
      </w:pPr>
    </w:p>
    <w:p>
      <w:pPr>
        <w:rPr>
          <w:rFonts w:hint="eastAsia" w:ascii="宋体" w:hAnsi="宋体"/>
          <w:color w:val="auto"/>
          <w:szCs w:val="21"/>
          <w:highlight w:val="none"/>
        </w:rPr>
      </w:pPr>
    </w:p>
    <w:p>
      <w:pPr>
        <w:pStyle w:val="2"/>
        <w:rPr>
          <w:rFonts w:hint="eastAsia" w:ascii="宋体" w:hAnsi="宋体"/>
          <w:color w:val="auto"/>
          <w:szCs w:val="21"/>
          <w:highlight w:val="none"/>
        </w:rPr>
      </w:pPr>
    </w:p>
    <w:p>
      <w:pPr>
        <w:pStyle w:val="3"/>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2"/>
        <w:rPr>
          <w:rFonts w:hint="eastAsia" w:ascii="宋体" w:hAnsi="宋体"/>
          <w:color w:val="auto"/>
          <w:szCs w:val="21"/>
          <w:highlight w:val="none"/>
        </w:rPr>
      </w:pPr>
    </w:p>
    <w:p>
      <w:pPr>
        <w:pStyle w:val="3"/>
        <w:rPr>
          <w:rFonts w:hint="eastAsia" w:ascii="宋体" w:hAnsi="宋体"/>
          <w:color w:val="auto"/>
          <w:szCs w:val="21"/>
          <w:highlight w:val="none"/>
        </w:rPr>
      </w:pPr>
    </w:p>
    <w:p>
      <w:pPr>
        <w:rPr>
          <w:rFonts w:hint="eastAsia" w:ascii="宋体" w:hAnsi="宋体"/>
          <w:color w:val="auto"/>
          <w:szCs w:val="21"/>
          <w:highlight w:val="none"/>
        </w:rPr>
      </w:pPr>
    </w:p>
    <w:p>
      <w:pPr>
        <w:pStyle w:val="2"/>
        <w:rPr>
          <w:rFonts w:hint="eastAsia" w:ascii="宋体" w:hAnsi="宋体"/>
          <w:color w:val="auto"/>
          <w:szCs w:val="21"/>
          <w:highlight w:val="none"/>
        </w:rPr>
      </w:pPr>
    </w:p>
    <w:p>
      <w:pPr>
        <w:pStyle w:val="3"/>
        <w:rPr>
          <w:rFonts w:hint="eastAsia" w:ascii="宋体" w:hAnsi="宋体"/>
          <w:color w:val="auto"/>
          <w:szCs w:val="21"/>
          <w:highlight w:val="none"/>
        </w:rPr>
      </w:pPr>
    </w:p>
    <w:p>
      <w:pPr>
        <w:rPr>
          <w:rFonts w:hint="eastAsia" w:ascii="宋体" w:hAnsi="宋体"/>
          <w:color w:val="auto"/>
          <w:szCs w:val="21"/>
          <w:highlight w:val="none"/>
        </w:rPr>
      </w:pPr>
    </w:p>
    <w:p>
      <w:pPr>
        <w:pStyle w:val="2"/>
        <w:rPr>
          <w:rFonts w:hint="eastAsia" w:ascii="宋体" w:hAnsi="宋体"/>
          <w:color w:val="auto"/>
          <w:szCs w:val="21"/>
          <w:highlight w:val="none"/>
        </w:rPr>
      </w:pPr>
    </w:p>
    <w:p>
      <w:pPr>
        <w:pStyle w:val="3"/>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3"/>
    <w:bookmarkEnd w:id="24"/>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6"/>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2"/>
        <w:rPr>
          <w:rFonts w:hint="eastAsia"/>
          <w:highlight w:val="none"/>
          <w:lang w:val="en-US" w:eastAsia="zh-CN"/>
        </w:rPr>
      </w:pPr>
    </w:p>
    <w:p>
      <w:pPr>
        <w:pStyle w:val="6"/>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8"/>
      <w:bookmarkEnd w:id="19"/>
    </w:p>
    <w:p>
      <w:pPr>
        <w:pStyle w:val="3"/>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u w:val="single"/>
          <w:lang w:val="en-US" w:eastAsia="zh-CN"/>
        </w:rPr>
        <w:t>三河古镇研学游项目设计</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6"/>
    <w:bookmarkEnd w:id="7"/>
    <w:bookmarkEnd w:id="8"/>
    <w:bookmarkEnd w:id="16"/>
    <w:p>
      <w:pPr>
        <w:pStyle w:val="6"/>
        <w:spacing w:before="120" w:beforeLines="0" w:after="120" w:afterLines="0" w:line="360" w:lineRule="auto"/>
        <w:rPr>
          <w:rFonts w:hint="eastAsia" w:hAnsi="宋体" w:cs="宋体"/>
          <w:sz w:val="28"/>
          <w:szCs w:val="28"/>
          <w:highlight w:val="none"/>
        </w:rPr>
      </w:pPr>
      <w:bookmarkStart w:id="25" w:name="_Hlt514495724"/>
      <w:bookmarkEnd w:id="25"/>
      <w:bookmarkStart w:id="26" w:name="_Hlt533408944"/>
      <w:bookmarkEnd w:id="26"/>
      <w:r>
        <w:rPr>
          <w:rFonts w:hint="eastAsia" w:hAnsi="宋体" w:cs="宋体"/>
          <w:sz w:val="28"/>
          <w:szCs w:val="28"/>
          <w:highlight w:val="none"/>
        </w:rPr>
        <w:br w:type="page"/>
      </w:r>
      <w:bookmarkStart w:id="27"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7"/>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公共资源交易监督管理部门记不良行为记录或记不良行为记录累计未满10分的。</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5"/>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8" w:name="_Toc19826"/>
      <w:bookmarkStart w:id="29" w:name="_Toc500337343"/>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8"/>
      <w:bookmarkEnd w:id="29"/>
      <w:bookmarkStart w:id="30" w:name="_Toc26965"/>
      <w:bookmarkStart w:id="31" w:name="_Toc516969105"/>
      <w:bookmarkStart w:id="32" w:name="_Toc220232402"/>
      <w:r>
        <w:rPr>
          <w:rStyle w:val="23"/>
          <w:rFonts w:hint="eastAsia" w:ascii="宋体" w:hAnsi="宋体" w:eastAsia="宋体" w:cs="宋体"/>
          <w:b/>
          <w:bCs/>
          <w:sz w:val="28"/>
          <w:szCs w:val="28"/>
          <w:highlight w:val="none"/>
          <w:lang w:val="en-US" w:eastAsia="zh-CN"/>
        </w:rPr>
        <w:t>有关证明文件</w:t>
      </w:r>
      <w:bookmarkEnd w:id="30"/>
      <w:bookmarkEnd w:id="31"/>
      <w:bookmarkEnd w:id="32"/>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5"/>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3" w:name="_Toc396122185"/>
      <w:bookmarkStart w:id="34" w:name="_Toc396317511"/>
      <w:bookmarkStart w:id="35" w:name="_Toc17338"/>
      <w:bookmarkStart w:id="36" w:name="_Toc500337346"/>
      <w:bookmarkStart w:id="37" w:name="_Toc220232403"/>
    </w:p>
    <w:p>
      <w:pPr>
        <w:pStyle w:val="6"/>
        <w:rPr>
          <w:rFonts w:hint="eastAsia" w:hAnsi="宋体" w:cs="宋体"/>
          <w:sz w:val="28"/>
          <w:szCs w:val="28"/>
          <w:highlight w:val="none"/>
          <w:lang w:val="en-US" w:eastAsia="zh-CN"/>
        </w:rPr>
      </w:pPr>
    </w:p>
    <w:p>
      <w:pPr>
        <w:rPr>
          <w:rFonts w:hint="eastAsia"/>
          <w:highlight w:val="none"/>
          <w:lang w:val="en-US" w:eastAsia="zh-CN"/>
        </w:rPr>
      </w:pPr>
    </w:p>
    <w:p>
      <w:pPr>
        <w:pStyle w:val="6"/>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2"/>
        <w:rPr>
          <w:rFonts w:hint="eastAsia"/>
          <w:highlight w:val="none"/>
          <w:lang w:val="en-US" w:eastAsia="zh-CN"/>
        </w:rPr>
      </w:pPr>
    </w:p>
    <w:p>
      <w:pPr>
        <w:pStyle w:val="6"/>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2"/>
        <w:rPr>
          <w:rFonts w:hint="eastAsia"/>
          <w:highlight w:val="none"/>
          <w:lang w:val="en-US" w:eastAsia="zh-CN"/>
        </w:rPr>
      </w:pPr>
    </w:p>
    <w:p>
      <w:pPr>
        <w:pStyle w:val="6"/>
        <w:rPr>
          <w:rFonts w:hint="eastAsia" w:hAnsi="宋体" w:cs="宋体"/>
          <w:sz w:val="28"/>
          <w:szCs w:val="28"/>
          <w:highlight w:val="none"/>
          <w:lang w:val="en-US" w:eastAsia="zh-CN"/>
        </w:rPr>
      </w:pPr>
    </w:p>
    <w:p>
      <w:pPr>
        <w:pStyle w:val="6"/>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2"/>
        <w:rPr>
          <w:rFonts w:hint="eastAsia"/>
          <w:highlight w:val="none"/>
          <w:lang w:val="en-US" w:eastAsia="zh-CN"/>
        </w:rPr>
      </w:pPr>
    </w:p>
    <w:p>
      <w:pPr>
        <w:pStyle w:val="6"/>
        <w:rPr>
          <w:rFonts w:hint="eastAsia" w:hAnsi="宋体" w:cs="宋体"/>
          <w:sz w:val="28"/>
          <w:szCs w:val="28"/>
          <w:highlight w:val="none"/>
          <w:lang w:val="en-US" w:eastAsia="zh-CN"/>
        </w:rPr>
      </w:pPr>
    </w:p>
    <w:p>
      <w:pPr>
        <w:pStyle w:val="6"/>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2"/>
        <w:rPr>
          <w:rFonts w:hint="eastAsia"/>
          <w:highlight w:val="none"/>
          <w:lang w:val="en-US" w:eastAsia="zh-CN"/>
        </w:rPr>
      </w:pPr>
    </w:p>
    <w:p>
      <w:pPr>
        <w:pStyle w:val="2"/>
        <w:rPr>
          <w:rFonts w:hint="eastAsia"/>
          <w:highlight w:val="none"/>
          <w:lang w:val="en-US" w:eastAsia="zh-CN"/>
        </w:rPr>
      </w:pPr>
    </w:p>
    <w:p>
      <w:pPr>
        <w:pStyle w:val="6"/>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3"/>
      <w:bookmarkEnd w:id="34"/>
      <w:r>
        <w:rPr>
          <w:rFonts w:hint="eastAsia" w:hAnsi="宋体" w:cs="宋体"/>
          <w:sz w:val="28"/>
          <w:szCs w:val="28"/>
          <w:highlight w:val="none"/>
          <w:lang w:eastAsia="zh-CN"/>
        </w:rPr>
        <w:t xml:space="preserve"> 其他资料</w:t>
      </w:r>
      <w:bookmarkEnd w:id="35"/>
      <w:bookmarkEnd w:id="36"/>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7"/>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abstractNum w:abstractNumId="1">
    <w:nsid w:val="0000000F"/>
    <w:multiLevelType w:val="singleLevel"/>
    <w:tmpl w:val="0000000F"/>
    <w:lvl w:ilvl="0" w:tentative="0">
      <w:start w:val="3"/>
      <w:numFmt w:val="decimal"/>
      <w:lvlText w:val="%1."/>
      <w:lvlJc w:val="left"/>
      <w:pPr>
        <w:tabs>
          <w:tab w:val="left" w:pos="312"/>
        </w:tabs>
      </w:pPr>
    </w:lvl>
  </w:abstractNum>
  <w:abstractNum w:abstractNumId="2">
    <w:nsid w:val="3513A6D1"/>
    <w:multiLevelType w:val="singleLevel"/>
    <w:tmpl w:val="3513A6D1"/>
    <w:lvl w:ilvl="0" w:tentative="0">
      <w:start w:val="5"/>
      <w:numFmt w:val="decimal"/>
      <w:lvlText w:val="%1."/>
      <w:lvlJc w:val="left"/>
      <w:pPr>
        <w:tabs>
          <w:tab w:val="left" w:pos="312"/>
        </w:tabs>
      </w:pPr>
    </w:lvl>
  </w:abstractNum>
  <w:abstractNum w:abstractNumId="3">
    <w:nsid w:val="59A93B5B"/>
    <w:multiLevelType w:val="singleLevel"/>
    <w:tmpl w:val="59A93B5B"/>
    <w:lvl w:ilvl="0" w:tentative="0">
      <w:start w:val="1"/>
      <w:numFmt w:val="decimal"/>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5MTg1YzRlYWQxZDc1NzFiYjYyZmJmNGYyZjI2YzIifQ=="/>
  </w:docVars>
  <w:rsids>
    <w:rsidRoot w:val="00000000"/>
    <w:rsid w:val="009B7CF9"/>
    <w:rsid w:val="03D177E1"/>
    <w:rsid w:val="04526E7B"/>
    <w:rsid w:val="04BE14C0"/>
    <w:rsid w:val="081952B3"/>
    <w:rsid w:val="099F10DB"/>
    <w:rsid w:val="0BA23811"/>
    <w:rsid w:val="0DB54600"/>
    <w:rsid w:val="0E033F7A"/>
    <w:rsid w:val="0E4775D9"/>
    <w:rsid w:val="0EE91E83"/>
    <w:rsid w:val="135056C8"/>
    <w:rsid w:val="13C47160"/>
    <w:rsid w:val="140C4DDD"/>
    <w:rsid w:val="158F4327"/>
    <w:rsid w:val="175054C9"/>
    <w:rsid w:val="182C1032"/>
    <w:rsid w:val="19567783"/>
    <w:rsid w:val="1B841D1D"/>
    <w:rsid w:val="1BF22A8E"/>
    <w:rsid w:val="1CDD28FB"/>
    <w:rsid w:val="23A62190"/>
    <w:rsid w:val="23E028CC"/>
    <w:rsid w:val="26356BAE"/>
    <w:rsid w:val="290D27BA"/>
    <w:rsid w:val="292559B5"/>
    <w:rsid w:val="2D3A48A4"/>
    <w:rsid w:val="2E0E0B66"/>
    <w:rsid w:val="30DE4562"/>
    <w:rsid w:val="343F2DFD"/>
    <w:rsid w:val="39AB1468"/>
    <w:rsid w:val="3A587E8F"/>
    <w:rsid w:val="3B5A3BC4"/>
    <w:rsid w:val="3C0E6EC2"/>
    <w:rsid w:val="3C72614E"/>
    <w:rsid w:val="3E1901BE"/>
    <w:rsid w:val="3EF96B18"/>
    <w:rsid w:val="4374368A"/>
    <w:rsid w:val="44823FC0"/>
    <w:rsid w:val="47C040BF"/>
    <w:rsid w:val="48044450"/>
    <w:rsid w:val="48536283"/>
    <w:rsid w:val="48811DCD"/>
    <w:rsid w:val="4A2000F0"/>
    <w:rsid w:val="4A7D1684"/>
    <w:rsid w:val="4DD50B0D"/>
    <w:rsid w:val="4EB85956"/>
    <w:rsid w:val="54A70F6B"/>
    <w:rsid w:val="567F608E"/>
    <w:rsid w:val="57D87E20"/>
    <w:rsid w:val="5C0629E9"/>
    <w:rsid w:val="5CFE5FDA"/>
    <w:rsid w:val="60A14592"/>
    <w:rsid w:val="64A5505E"/>
    <w:rsid w:val="6597619F"/>
    <w:rsid w:val="6608232F"/>
    <w:rsid w:val="66EF67B7"/>
    <w:rsid w:val="68816AA3"/>
    <w:rsid w:val="6C727408"/>
    <w:rsid w:val="6C8D2FC3"/>
    <w:rsid w:val="6D147674"/>
    <w:rsid w:val="74AB66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5">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6">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7">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宋体" w:hAnsi="Arial"/>
      <w:sz w:val="28"/>
    </w:rPr>
  </w:style>
  <w:style w:type="paragraph" w:styleId="3">
    <w:name w:val="Date"/>
    <w:basedOn w:val="1"/>
    <w:next w:val="1"/>
    <w:qFormat/>
    <w:uiPriority w:val="0"/>
    <w:rPr>
      <w:b/>
      <w:kern w:val="2"/>
      <w:sz w:val="28"/>
    </w:rPr>
  </w:style>
  <w:style w:type="paragraph" w:styleId="8">
    <w:name w:val="annotation text"/>
    <w:basedOn w:val="1"/>
    <w:qFormat/>
    <w:uiPriority w:val="0"/>
    <w:pPr>
      <w:jc w:val="left"/>
    </w:pPr>
  </w:style>
  <w:style w:type="paragraph" w:styleId="9">
    <w:name w:val="Body Text Indent"/>
    <w:basedOn w:val="1"/>
    <w:next w:val="10"/>
    <w:qFormat/>
    <w:uiPriority w:val="0"/>
    <w:pPr>
      <w:ind w:firstLine="645"/>
    </w:pPr>
    <w:rPr>
      <w:rFonts w:ascii="楷体_GB2312" w:eastAsia="楷体_GB2312"/>
      <w:kern w:val="2"/>
      <w:sz w:val="32"/>
      <w:lang w:val="en-US" w:eastAsia="zh-CN" w:bidi="ar-SA"/>
    </w:rPr>
  </w:style>
  <w:style w:type="paragraph" w:styleId="10">
    <w:name w:val="envelope return"/>
    <w:basedOn w:val="1"/>
    <w:qFormat/>
    <w:uiPriority w:val="0"/>
    <w:pPr>
      <w:snapToGrid w:val="0"/>
    </w:pPr>
    <w:rPr>
      <w:rFonts w:ascii="Arial" w:hAnsi="Arial"/>
    </w:rPr>
  </w:style>
  <w:style w:type="paragraph" w:styleId="11">
    <w:name w:val="Body Text Indent 2"/>
    <w:basedOn w:val="1"/>
    <w:qFormat/>
    <w:uiPriority w:val="0"/>
    <w:pPr>
      <w:spacing w:line="360" w:lineRule="exact"/>
      <w:ind w:firstLine="600" w:firstLineChars="250"/>
      <w:jc w:val="left"/>
    </w:pPr>
    <w:rPr>
      <w:sz w:val="24"/>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9"/>
    <w:next w:val="14"/>
    <w:qFormat/>
    <w:uiPriority w:val="0"/>
    <w:pPr>
      <w:ind w:left="420" w:firstLine="420" w:firstLineChars="200"/>
    </w:pPr>
    <w:rPr>
      <w:rFonts w:ascii="Calibri" w:hAnsi="Calibri"/>
      <w:sz w:val="21"/>
      <w:szCs w:val="2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4"/>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5"/>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6090</Words>
  <Characters>6303</Characters>
  <Lines>0</Lines>
  <Paragraphs>0</Paragraphs>
  <TotalTime>1</TotalTime>
  <ScaleCrop>false</ScaleCrop>
  <LinksUpToDate>false</LinksUpToDate>
  <CharactersWithSpaces>7183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F</cp:lastModifiedBy>
  <cp:lastPrinted>2023-05-11T01:03:02Z</cp:lastPrinted>
  <dcterms:modified xsi:type="dcterms:W3CDTF">2023-05-11T07:57:42Z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E32F2386AFF74C21B5FD107609DFFC72_13</vt:lpwstr>
  </property>
</Properties>
</file>