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20" w:beforeLines="0" w:line="360" w:lineRule="auto"/>
        <w:ind w:firstLine="0"/>
        <w:rPr>
          <w:rStyle w:val="20"/>
          <w:rFonts w:hint="eastAsia" w:ascii="宋体" w:hAnsi="宋体" w:eastAsia="宋体" w:cs="宋体"/>
          <w:sz w:val="44"/>
          <w:szCs w:val="44"/>
          <w:highlight w:val="none"/>
        </w:rPr>
      </w:pPr>
    </w:p>
    <w:p>
      <w:pPr>
        <w:spacing w:before="240" w:beforeLines="100" w:line="360" w:lineRule="auto"/>
        <w:ind w:left="0" w:leftChars="0" w:firstLine="0" w:firstLineChars="0"/>
        <w:jc w:val="center"/>
        <w:rPr>
          <w:rFonts w:hint="default" w:ascii="宋体" w:hAnsi="宋体" w:eastAsia="宋体"/>
          <w:sz w:val="24"/>
          <w:highlight w:val="none"/>
          <w:lang w:val="en-US" w:eastAsia="zh-CN"/>
        </w:rPr>
      </w:pPr>
      <w:r>
        <w:rPr>
          <w:rFonts w:hint="eastAsia" w:ascii="黑体" w:hAnsi="黑体" w:eastAsia="黑体"/>
          <w:sz w:val="44"/>
          <w:szCs w:val="44"/>
          <w:highlight w:val="none"/>
          <w:lang w:eastAsia="zh-CN"/>
        </w:rPr>
        <w:t>紫蓬山山门驿站及配套设施项目</w:t>
      </w:r>
      <w:r>
        <w:rPr>
          <w:rFonts w:hint="eastAsia" w:ascii="黑体" w:hAnsi="黑体" w:eastAsia="黑体"/>
          <w:sz w:val="44"/>
          <w:szCs w:val="44"/>
          <w:highlight w:val="none"/>
          <w:lang w:val="en-US" w:eastAsia="zh-CN"/>
        </w:rPr>
        <w:t>监理</w:t>
      </w:r>
    </w:p>
    <w:p>
      <w:pPr>
        <w:pStyle w:val="4"/>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7"/>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宋体" w:hAnsi="宋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宋体" w:hAnsi="宋体"/>
          <w:sz w:val="32"/>
          <w:szCs w:val="32"/>
          <w:highlight w:val="none"/>
        </w:rPr>
        <w:t>年</w:t>
      </w:r>
      <w:r>
        <w:rPr>
          <w:rFonts w:hint="eastAsia" w:ascii="宋体" w:hAnsi="宋体"/>
          <w:sz w:val="32"/>
          <w:szCs w:val="32"/>
          <w:highlight w:val="none"/>
          <w:lang w:val="en-US" w:eastAsia="zh-CN"/>
        </w:rPr>
        <w:t>4</w:t>
      </w:r>
      <w:r>
        <w:rPr>
          <w:rFonts w:hint="eastAsia" w:ascii="宋体" w:hAnsi="宋体"/>
          <w:sz w:val="32"/>
          <w:szCs w:val="32"/>
          <w:highlight w:val="none"/>
        </w:rPr>
        <w:t>月</w:t>
      </w:r>
    </w:p>
    <w:p>
      <w:pPr>
        <w:pStyle w:val="16"/>
        <w:rPr>
          <w:rFonts w:hint="eastAsia" w:ascii="宋体" w:hAnsi="宋体"/>
          <w:sz w:val="32"/>
          <w:szCs w:val="32"/>
          <w:highlight w:val="none"/>
        </w:rPr>
      </w:pPr>
    </w:p>
    <w:p>
      <w:pPr>
        <w:pStyle w:val="14"/>
        <w:rPr>
          <w:rFonts w:hint="eastAsia"/>
          <w:highlight w:val="none"/>
        </w:rPr>
      </w:pPr>
    </w:p>
    <w:p>
      <w:pPr>
        <w:pStyle w:val="4"/>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pStyle w:val="4"/>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autoSpaceDE w:val="0"/>
        <w:autoSpaceDN w:val="0"/>
        <w:adjustRightInd w:val="0"/>
        <w:spacing w:line="360" w:lineRule="auto"/>
        <w:ind w:firstLine="480" w:firstLineChars="200"/>
        <w:jc w:val="left"/>
        <w:rPr>
          <w:rFonts w:hint="eastAsia" w:ascii="宋体" w:hAnsi="宋体" w:cs="宋体"/>
          <w:sz w:val="24"/>
          <w:szCs w:val="24"/>
          <w:highlight w:val="none"/>
        </w:rPr>
      </w:pPr>
      <w:bookmarkStart w:id="39" w:name="_GoBack"/>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lang w:eastAsia="zh-CN"/>
        </w:rPr>
        <w:t>紫蓬山山门驿站及配套设施项目</w:t>
      </w:r>
      <w:r>
        <w:rPr>
          <w:rFonts w:hint="eastAsia" w:ascii="宋体" w:hAnsi="宋体" w:cs="宋体"/>
          <w:sz w:val="24"/>
          <w:szCs w:val="24"/>
          <w:highlight w:val="none"/>
          <w:u w:val="none"/>
          <w:lang w:val="en-US" w:eastAsia="zh-CN"/>
        </w:rPr>
        <w:t>监理</w:t>
      </w:r>
      <w:r>
        <w:rPr>
          <w:rFonts w:hint="eastAsia" w:ascii="宋体" w:hAnsi="宋体" w:cs="宋体"/>
          <w:sz w:val="24"/>
          <w:szCs w:val="24"/>
          <w:highlight w:val="none"/>
          <w:u w:val="none"/>
        </w:rPr>
        <w:t>”</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1.项目名称：</w:t>
      </w:r>
      <w:r>
        <w:rPr>
          <w:rFonts w:hint="eastAsia" w:ascii="宋体" w:hAnsi="宋体" w:cs="宋体"/>
          <w:sz w:val="24"/>
          <w:szCs w:val="24"/>
          <w:highlight w:val="none"/>
          <w:lang w:eastAsia="zh-CN"/>
        </w:rPr>
        <w:t>紫蓬山山门驿站及配套设施项目</w:t>
      </w:r>
      <w:r>
        <w:rPr>
          <w:rFonts w:hint="eastAsia" w:ascii="宋体" w:hAnsi="宋体" w:cs="宋体"/>
          <w:sz w:val="24"/>
          <w:szCs w:val="24"/>
          <w:highlight w:val="none"/>
          <w:lang w:val="en-US" w:eastAsia="zh-CN"/>
        </w:rPr>
        <w:t>监理</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2.项目地点：项目位于</w:t>
      </w:r>
      <w:r>
        <w:rPr>
          <w:rFonts w:hint="eastAsia" w:ascii="宋体" w:hAnsi="宋体" w:cs="宋体"/>
          <w:sz w:val="24"/>
          <w:szCs w:val="24"/>
          <w:highlight w:val="none"/>
          <w:lang w:val="en-US" w:eastAsia="zh-CN"/>
        </w:rPr>
        <w:t>肥西紫蓬山</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pStyle w:val="11"/>
        <w:numPr>
          <w:ilvl w:val="0"/>
          <w:numId w:val="0"/>
        </w:numPr>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概况：占地面积约16亩，建筑面积约774平方米。包含但不仅限1.结合品牌调性与业态形式重新改造，设计出具有文化特色的空间，满足商业需求深入开发景观空间。2.与周围场地进行互动植入多种业态，基于传统业态基础上增加例如集市，垂钓，露营等周期性业态，为场地引流。3.延伸户外区，增设部分景观布置、设备设施及户外营地产品内容等。</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5.资金来源：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25万元（各单位报价不得超过本预算）</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工程服务</w:t>
      </w:r>
      <w:r>
        <w:rPr>
          <w:rFonts w:hint="eastAsia" w:ascii="宋体" w:hAnsi="宋体" w:cs="宋体"/>
          <w:sz w:val="24"/>
          <w:szCs w:val="24"/>
          <w:highlight w:val="none"/>
        </w:rPr>
        <w:t>类</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sz w:val="24"/>
          <w:szCs w:val="24"/>
          <w:highlight w:val="none"/>
          <w:lang w:val="en-US" w:eastAsia="zh-CN"/>
        </w:rPr>
        <w:t>具有独立承担民事责任的能力</w:t>
      </w:r>
      <w:r>
        <w:rPr>
          <w:rFonts w:hint="eastAsia" w:ascii="宋体" w:hAnsi="宋体" w:cs="宋体"/>
          <w:sz w:val="24"/>
          <w:szCs w:val="24"/>
          <w:highlight w:val="none"/>
        </w:rPr>
        <w:t>；</w:t>
      </w:r>
    </w:p>
    <w:p>
      <w:pPr>
        <w:spacing w:line="360" w:lineRule="auto"/>
        <w:ind w:firstLine="480" w:firstLineChars="200"/>
        <w:rPr>
          <w:rFonts w:hint="default"/>
          <w:lang w:val="en-US" w:eastAsia="zh-CN"/>
        </w:rPr>
      </w:pPr>
      <w:r>
        <w:rPr>
          <w:rFonts w:hint="eastAsia" w:ascii="宋体" w:hAnsi="宋体" w:cs="宋体"/>
          <w:sz w:val="24"/>
          <w:szCs w:val="24"/>
          <w:highlight w:val="none"/>
          <w:lang w:val="en-US" w:eastAsia="zh-CN"/>
        </w:rPr>
        <w:t>2.具有房屋建筑工程监理甲级及以上资质或工程监理综合资质；</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3.需提供两个自</w:t>
      </w:r>
      <w:r>
        <w:rPr>
          <w:rFonts w:hint="eastAsia" w:ascii="宋体" w:hAnsi="宋体"/>
          <w:sz w:val="21"/>
          <w:szCs w:val="21"/>
          <w:highlight w:val="none"/>
          <w:lang w:val="en-US" w:eastAsia="zh-CN"/>
        </w:rPr>
        <w:t>2018年1月1日以来（时间以定案表落款日期或者合同签订时间为准），</w:t>
      </w:r>
      <w:r>
        <w:rPr>
          <w:rFonts w:hint="eastAsia" w:ascii="宋体" w:hAnsi="宋体"/>
          <w:sz w:val="21"/>
          <w:szCs w:val="21"/>
          <w:highlight w:val="none"/>
        </w:rPr>
        <w:t>不低于</w:t>
      </w:r>
      <w:r>
        <w:rPr>
          <w:rFonts w:hint="eastAsia" w:ascii="宋体" w:hAnsi="宋体"/>
          <w:sz w:val="21"/>
          <w:szCs w:val="21"/>
          <w:highlight w:val="none"/>
          <w:lang w:val="en-US" w:eastAsia="zh-CN"/>
        </w:rPr>
        <w:t>1000</w:t>
      </w:r>
      <w:r>
        <w:rPr>
          <w:rFonts w:hint="eastAsia" w:ascii="宋体" w:hAnsi="宋体"/>
          <w:sz w:val="21"/>
          <w:szCs w:val="21"/>
          <w:highlight w:val="none"/>
        </w:rPr>
        <w:t>万元的</w:t>
      </w:r>
      <w:r>
        <w:rPr>
          <w:rFonts w:hint="eastAsia" w:ascii="宋体" w:hAnsi="宋体"/>
          <w:sz w:val="21"/>
          <w:szCs w:val="21"/>
          <w:highlight w:val="none"/>
          <w:lang w:val="en-US" w:eastAsia="zh-CN"/>
        </w:rPr>
        <w:t>房屋建筑</w:t>
      </w:r>
      <w:r>
        <w:rPr>
          <w:rFonts w:hint="eastAsia" w:ascii="宋体" w:hAnsi="宋体"/>
          <w:sz w:val="21"/>
          <w:szCs w:val="21"/>
          <w:highlight w:val="none"/>
        </w:rPr>
        <w:t>工程</w:t>
      </w:r>
      <w:r>
        <w:rPr>
          <w:rFonts w:hint="eastAsia" w:ascii="宋体" w:hAnsi="宋体"/>
          <w:sz w:val="21"/>
          <w:szCs w:val="21"/>
          <w:highlight w:val="none"/>
          <w:lang w:val="en-US" w:eastAsia="zh-CN"/>
        </w:rPr>
        <w:t>监理业绩（提供业绩的合同或者定案表扫描件或影印件）；</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4.本项目拟任</w:t>
      </w:r>
      <w:r>
        <w:rPr>
          <w:rFonts w:hint="eastAsia"/>
          <w:highlight w:val="none"/>
          <w:lang w:val="en-US" w:eastAsia="zh-CN"/>
        </w:rPr>
        <w:t>项目总监：具有国家级注册监理工程师证书；</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本项目不接受联合体</w:t>
      </w:r>
      <w:r>
        <w:rPr>
          <w:rFonts w:hint="eastAsia" w:ascii="宋体" w:hAnsi="宋体" w:cs="宋体"/>
          <w:sz w:val="24"/>
          <w:szCs w:val="24"/>
          <w:highlight w:val="none"/>
          <w:lang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25</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28</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16:00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并发参审文件至邮件至联系人邮箱</w:t>
      </w:r>
      <w:r>
        <w:rPr>
          <w:rFonts w:hint="eastAsia" w:ascii="宋体" w:hAnsi="宋体" w:eastAsia="宋体" w:cs="宋体"/>
          <w:color w:val="auto"/>
          <w:sz w:val="24"/>
          <w:szCs w:val="24"/>
          <w:highlight w:val="none"/>
          <w:lang w:val="en-US" w:eastAsia="zh-CN"/>
        </w:rPr>
        <w:t>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04</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28</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下午17</w:t>
      </w:r>
      <w:r>
        <w:rPr>
          <w:rFonts w:hint="eastAsia" w:ascii="宋体" w:hAnsi="宋体" w:cs="宋体"/>
          <w:color w:val="auto"/>
          <w:sz w:val="24"/>
          <w:szCs w:val="24"/>
          <w:highlight w:val="none"/>
          <w:lang w:val="en-US" w:eastAsia="zh-CN"/>
        </w:rPr>
        <w:t>:00</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highlight w:val="none"/>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吴工</w:t>
      </w:r>
    </w:p>
    <w:p>
      <w:pPr>
        <w:autoSpaceDE w:val="0"/>
        <w:autoSpaceDN w:val="0"/>
        <w:adjustRightInd w:val="0"/>
        <w:spacing w:line="360" w:lineRule="auto"/>
        <w:ind w:firstLine="480" w:firstLineChars="200"/>
        <w:jc w:val="left"/>
        <w:rPr>
          <w:rFonts w:hint="eastAsia"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bookmarkEnd w:id="39"/>
    <w:p>
      <w:pPr>
        <w:rPr>
          <w:rStyle w:val="21"/>
          <w:rFonts w:hint="eastAsia" w:ascii="宋体" w:hAnsi="宋体" w:eastAsia="宋体" w:cs="宋体"/>
          <w:b/>
          <w:bCs/>
          <w:sz w:val="30"/>
          <w:szCs w:val="30"/>
          <w:highlight w:val="none"/>
          <w:lang w:val="en-US" w:eastAsia="zh-CN"/>
        </w:rPr>
      </w:pPr>
      <w:r>
        <w:rPr>
          <w:rFonts w:hint="eastAsia" w:ascii="宋体" w:hAnsi="宋体" w:cs="宋体"/>
          <w:bCs/>
          <w:sz w:val="24"/>
          <w:szCs w:val="24"/>
          <w:highlight w:val="none"/>
          <w:lang w:val="en-US" w:eastAsia="zh-CN"/>
        </w:rPr>
        <w:br w:type="page"/>
      </w:r>
      <w:bookmarkStart w:id="1" w:name="_Toc220232390"/>
      <w:bookmarkStart w:id="2" w:name="_Toc20903"/>
    </w:p>
    <w:p>
      <w:pPr>
        <w:pStyle w:val="4"/>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eastAsia="宋体"/>
          <w:sz w:val="24"/>
          <w:szCs w:val="24"/>
          <w:highlight w:val="none"/>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Theme="minorEastAsia" w:hAnsiTheme="minorEastAsia" w:eastAsiaTheme="minorEastAsia" w:cstheme="minorEastAsia"/>
          <w:kern w:val="0"/>
          <w:sz w:val="24"/>
          <w:szCs w:val="24"/>
          <w:highlight w:val="none"/>
          <w:lang w:val="en-US" w:eastAsia="zh-CN"/>
        </w:rPr>
        <w:t>占地面积约16亩，建筑面积约774平方米。包含但不仅限1.结合品牌调性与业态形式重新改造，设计出具有文化特色的空间，满足商业需求深入开发景观空间。2.与周围场地进行互动植入多种业态，基于传统业态基础上增加例如集市，垂钓，露营等周期性业态，为场地引流。3.延伸户外区，增设部分景观布置、设备设施及户外营地产品内容等。</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w:t>
      </w:r>
      <w:r>
        <w:rPr>
          <w:rFonts w:hint="eastAsia" w:asciiTheme="minorEastAsia" w:hAnsiTheme="minorEastAsia" w:eastAsiaTheme="minorEastAsia" w:cstheme="minorEastAsia"/>
          <w:sz w:val="24"/>
          <w:szCs w:val="24"/>
          <w:highlight w:val="none"/>
          <w:lang w:val="en-US" w:eastAsia="zh-CN"/>
        </w:rPr>
        <w:t>竣工验收合格后支付合同价80%，工程结算审定后支付合同价的100%。</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04</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25</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04</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28</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日1</w:t>
      </w:r>
      <w:r>
        <w:rPr>
          <w:rStyle w:val="20"/>
          <w:rFonts w:hint="eastAsia" w:ascii="宋体" w:hAnsi="宋体"/>
          <w:b/>
          <w:bCs w:val="0"/>
          <w:i w:val="0"/>
          <w:caps w:val="0"/>
          <w:color w:val="auto"/>
          <w:spacing w:val="0"/>
          <w:w w:val="100"/>
          <w:kern w:val="0"/>
          <w:sz w:val="24"/>
          <w:szCs w:val="24"/>
          <w:highlight w:val="none"/>
          <w:u w:val="none"/>
          <w:lang w:val="en-US" w:eastAsia="zh-CN" w:bidi="ar-SA"/>
        </w:rPr>
        <w:t>6</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0</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0。</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pStyle w:val="5"/>
        <w:rPr>
          <w:rFonts w:hint="eastAsia"/>
          <w:highlight w:val="none"/>
          <w:lang w:val="en-US" w:eastAsia="zh-CN"/>
        </w:rPr>
      </w:pPr>
    </w:p>
    <w:p>
      <w:pPr>
        <w:rPr>
          <w:rFonts w:hint="eastAsia"/>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4"/>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hAnsi="宋体" w:cs="宋体"/>
          <w:bCs/>
          <w:sz w:val="24"/>
          <w:szCs w:val="24"/>
          <w:highlight w:val="none"/>
          <w:lang w:val="en-US" w:eastAsia="zh-CN"/>
        </w:rPr>
      </w:pPr>
      <w:r>
        <w:rPr>
          <w:rFonts w:hint="eastAsia" w:hAnsi="宋体" w:cs="宋体"/>
          <w:bCs/>
          <w:sz w:val="24"/>
          <w:szCs w:val="24"/>
          <w:highlight w:val="none"/>
          <w:lang w:val="en-US" w:eastAsia="zh-CN"/>
        </w:rPr>
        <w:t>3、必须同时满足以下三个条件的为预中标人。</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（1）必须低于拦标价；（2）必须最接近所有有效投标价的算术平均值；（3）必须同时有三家及以上有效投标单位参与竞标。</w:t>
      </w:r>
      <w:r>
        <w:rPr>
          <w:rFonts w:hint="eastAsia" w:asciiTheme="minorEastAsia" w:hAnsiTheme="minorEastAsia" w:eastAsiaTheme="minorEastAsia"/>
          <w:sz w:val="24"/>
          <w:highlight w:val="none"/>
          <w:lang w:eastAsia="zh-CN"/>
        </w:rPr>
        <w:t>若参审单位</w:t>
      </w:r>
      <w:r>
        <w:rPr>
          <w:rFonts w:ascii="宋体" w:hAnsi="宋体" w:eastAsia="宋体" w:cs="宋体"/>
          <w:sz w:val="24"/>
          <w:szCs w:val="24"/>
          <w:highlight w:val="none"/>
        </w:rPr>
        <w:t>不足规定家数的，</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5</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4"/>
        <w:spacing w:line="500" w:lineRule="exact"/>
        <w:ind w:firstLine="0"/>
        <w:rPr>
          <w:rStyle w:val="21"/>
          <w:rFonts w:hint="eastAsia" w:ascii="宋体" w:hAnsi="宋体" w:eastAsia="宋体" w:cs="宋体"/>
          <w:b w:val="0"/>
          <w:bCs w:val="0"/>
          <w:sz w:val="28"/>
          <w:szCs w:val="28"/>
          <w:highlight w:val="none"/>
        </w:rPr>
      </w:pPr>
      <w:bookmarkStart w:id="4" w:name="_Toc220232391"/>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3"/>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09738521"/>
      <w:bookmarkStart w:id="8" w:name="_Hlt519045391"/>
      <w:bookmarkStart w:id="9" w:name="_Hlt509738509"/>
    </w:p>
    <w:p>
      <w:pPr>
        <w:jc w:val="center"/>
        <w:rPr>
          <w:rFonts w:hint="eastAsia" w:ascii="宋体" w:hAnsi="宋体" w:cs="宋体"/>
          <w:b/>
          <w:sz w:val="44"/>
          <w:szCs w:val="44"/>
          <w:highlight w:val="none"/>
          <w:lang w:val="en-US" w:eastAsia="zh-CN"/>
        </w:rPr>
      </w:pPr>
      <w:r>
        <w:rPr>
          <w:rFonts w:hint="eastAsia" w:ascii="宋体" w:hAnsi="宋体" w:cs="宋体"/>
          <w:b/>
          <w:sz w:val="44"/>
          <w:szCs w:val="44"/>
          <w:highlight w:val="none"/>
          <w:lang w:val="en-US" w:eastAsia="zh-CN"/>
        </w:rPr>
        <w:t>紫蓬山山门驿站及配套设施项目监理</w:t>
      </w:r>
    </w:p>
    <w:p>
      <w:pPr>
        <w:pStyle w:val="2"/>
        <w:rPr>
          <w:rFonts w:hint="default"/>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5"/>
        <w:rPr>
          <w:rFonts w:hint="eastAsia" w:cs="宋体"/>
          <w:sz w:val="28"/>
          <w:szCs w:val="28"/>
          <w:highlight w:val="none"/>
        </w:rPr>
      </w:pPr>
    </w:p>
    <w:p>
      <w:pPr>
        <w:pStyle w:val="2"/>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0" w:name="_Hlt509716873"/>
      <w:bookmarkEnd w:id="10"/>
      <w:bookmarkStart w:id="11" w:name="_Hlt533408409"/>
      <w:bookmarkEnd w:id="11"/>
      <w:bookmarkStart w:id="12" w:name="_Hlt533409360"/>
      <w:bookmarkEnd w:id="12"/>
      <w:bookmarkStart w:id="13" w:name="_Hlt533408916"/>
      <w:bookmarkEnd w:id="13"/>
      <w:bookmarkStart w:id="14" w:name="_Hlt519045798"/>
      <w:bookmarkEnd w:id="14"/>
      <w:bookmarkStart w:id="15" w:name="_Toc13084"/>
      <w:bookmarkStart w:id="16" w:name="_Toc516969097"/>
      <w:bookmarkStart w:id="17"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4"/>
              <w:spacing w:before="120" w:beforeLines="0" w:line="360" w:lineRule="auto"/>
              <w:ind w:firstLine="0"/>
              <w:jc w:val="center"/>
              <w:rPr>
                <w:rFonts w:hint="default" w:ascii="宋体" w:hAnsi="宋体" w:cs="宋体"/>
                <w:bCs/>
                <w:sz w:val="28"/>
                <w:szCs w:val="28"/>
                <w:highlight w:val="none"/>
                <w:u w:val="single"/>
                <w:lang w:val="en-US"/>
              </w:rPr>
            </w:pPr>
            <w:r>
              <w:rPr>
                <w:rFonts w:hint="eastAsia" w:ascii="宋体" w:hAnsi="宋体" w:cs="宋体"/>
                <w:bCs/>
                <w:sz w:val="36"/>
                <w:szCs w:val="36"/>
                <w:highlight w:val="none"/>
                <w:u w:val="none"/>
                <w:lang w:eastAsia="zh-CN"/>
              </w:rPr>
              <w:t>紫蓬山山门驿站及配套设施项目</w:t>
            </w:r>
            <w:r>
              <w:rPr>
                <w:rFonts w:hint="eastAsia" w:ascii="宋体" w:hAnsi="宋体" w:cs="宋体"/>
                <w:bCs/>
                <w:sz w:val="36"/>
                <w:szCs w:val="36"/>
                <w:highlight w:val="none"/>
                <w:u w:val="none"/>
                <w:lang w:val="en-US" w:eastAsia="zh-CN"/>
              </w:rPr>
              <w:t>监理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none"/>
                <w:lang w:val="en-US" w:eastAsia="zh-CN"/>
              </w:rPr>
            </w:pPr>
          </w:p>
          <w:p>
            <w:pPr>
              <w:spacing w:line="360" w:lineRule="auto"/>
              <w:ind w:firstLine="560" w:firstLineChars="200"/>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bookmarkEnd w:id="16"/>
    <w:p>
      <w:pPr>
        <w:pStyle w:val="11"/>
        <w:rPr>
          <w:rFonts w:hint="eastAsia"/>
          <w:highlight w:val="none"/>
          <w:lang w:val="en-US" w:eastAsia="zh-CN"/>
        </w:rPr>
      </w:pPr>
      <w:bookmarkStart w:id="18" w:name="_Toc6245"/>
      <w:bookmarkStart w:id="19" w:name="_Toc500337339"/>
      <w:bookmarkStart w:id="20" w:name="_Toc19990"/>
    </w:p>
    <w:p>
      <w:pPr>
        <w:pStyle w:val="2"/>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8"/>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084"/>
      <w:bookmarkStart w:id="22" w:name="_Toc535241130"/>
      <w:bookmarkStart w:id="23" w:name="_Toc535241227"/>
      <w:bookmarkStart w:id="24" w:name="_Toc224103497"/>
      <w:bookmarkStart w:id="25" w:name="_Toc224103498"/>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2"/>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7"/>
        <w:rPr>
          <w:rFonts w:hint="eastAsia"/>
          <w:highlight w:val="none"/>
          <w:lang w:val="en-US" w:eastAsia="zh-CN"/>
        </w:rPr>
      </w:pPr>
    </w:p>
    <w:p>
      <w:pPr>
        <w:pStyle w:val="2"/>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9"/>
      <w:bookmarkEnd w:id="20"/>
    </w:p>
    <w:p>
      <w:pPr>
        <w:pStyle w:val="8"/>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rPr>
        <w:t>“</w:t>
      </w:r>
      <w:r>
        <w:rPr>
          <w:rFonts w:hint="eastAsia" w:ascii="宋体" w:hAnsi="宋体" w:cs="宋体"/>
          <w:sz w:val="24"/>
          <w:szCs w:val="24"/>
          <w:highlight w:val="none"/>
          <w:u w:val="none"/>
        </w:rPr>
        <w:t xml:space="preserve"> </w:t>
      </w:r>
      <w:r>
        <w:rPr>
          <w:rFonts w:hint="eastAsia" w:ascii="宋体" w:hAnsi="宋体" w:cs="宋体"/>
          <w:sz w:val="24"/>
          <w:szCs w:val="24"/>
          <w:highlight w:val="none"/>
          <w:u w:val="single"/>
          <w:lang w:eastAsia="zh-CN"/>
        </w:rPr>
        <w:t>紫蓬山山门驿站及配套设施项目</w:t>
      </w:r>
      <w:r>
        <w:rPr>
          <w:rFonts w:hint="eastAsia" w:ascii="宋体" w:hAnsi="宋体" w:cs="宋体"/>
          <w:sz w:val="24"/>
          <w:szCs w:val="24"/>
          <w:highlight w:val="none"/>
          <w:u w:val="single"/>
          <w:lang w:val="en-US" w:eastAsia="zh-CN"/>
        </w:rPr>
        <w:t>监理</w:t>
      </w:r>
      <w:r>
        <w:rPr>
          <w:rFonts w:hint="eastAsia" w:ascii="宋体" w:hAnsi="宋体" w:cs="宋体"/>
          <w:sz w:val="24"/>
          <w:szCs w:val="24"/>
          <w:highlight w:val="none"/>
          <w:u w:val="none"/>
        </w:rPr>
        <w:t>”</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2"/>
        <w:spacing w:before="120" w:beforeLines="0" w:after="120" w:afterLines="0" w:line="360" w:lineRule="auto"/>
        <w:rPr>
          <w:rFonts w:hint="eastAsia" w:hAnsi="宋体" w:cs="宋体"/>
          <w:sz w:val="28"/>
          <w:szCs w:val="28"/>
          <w:highlight w:val="none"/>
        </w:rPr>
      </w:pPr>
      <w:bookmarkStart w:id="26" w:name="_Hlt514495724"/>
      <w:bookmarkEnd w:id="26"/>
      <w:bookmarkStart w:id="27" w:name="_Hlt53340894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4"/>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19826"/>
      <w:bookmarkStart w:id="30" w:name="_Toc500337343"/>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9"/>
      <w:bookmarkEnd w:id="30"/>
      <w:bookmarkStart w:id="31" w:name="_Toc516969105"/>
      <w:bookmarkStart w:id="32" w:name="_Toc220232402"/>
      <w:bookmarkStart w:id="33" w:name="_Toc26965"/>
      <w:r>
        <w:rPr>
          <w:rStyle w:val="23"/>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4"/>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4" w:name="_Toc396122185"/>
      <w:bookmarkStart w:id="35" w:name="_Toc396317511"/>
      <w:bookmarkStart w:id="36" w:name="_Toc500337346"/>
      <w:bookmarkStart w:id="37" w:name="_Toc17338"/>
      <w:bookmarkStart w:id="38" w:name="_Toc220232403"/>
    </w:p>
    <w:p>
      <w:pPr>
        <w:pStyle w:val="2"/>
        <w:rPr>
          <w:rFonts w:hint="eastAsia" w:hAnsi="宋体" w:cs="宋体"/>
          <w:sz w:val="28"/>
          <w:szCs w:val="28"/>
          <w:highlight w:val="none"/>
          <w:lang w:val="en-US" w:eastAsia="zh-CN"/>
        </w:rPr>
      </w:pPr>
    </w:p>
    <w:p>
      <w:pPr>
        <w:rPr>
          <w:rFonts w:hint="eastAsia"/>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4"/>
      <w:bookmarkEnd w:id="35"/>
      <w:r>
        <w:rPr>
          <w:rFonts w:hint="eastAsia" w:hAnsi="宋体" w:cs="宋体"/>
          <w:sz w:val="28"/>
          <w:szCs w:val="28"/>
          <w:highlight w:val="none"/>
          <w:lang w:eastAsia="zh-CN"/>
        </w:rPr>
        <w:t xml:space="preserve"> 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headerReference r:id="rId3" w:type="default"/>
      <w:footerReference r:id="rId4" w:type="default"/>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abstractNum w:abstractNumId="1">
    <w:nsid w:val="0000000F"/>
    <w:multiLevelType w:val="singleLevel"/>
    <w:tmpl w:val="0000000F"/>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ZmQzMmZmMjBhYzlhMTM0NTBiNzkzNzg4YmJlMWEifQ=="/>
  </w:docVars>
  <w:rsids>
    <w:rsidRoot w:val="00000000"/>
    <w:rsid w:val="001B3A0B"/>
    <w:rsid w:val="009B7CF9"/>
    <w:rsid w:val="03D177E1"/>
    <w:rsid w:val="04526E7B"/>
    <w:rsid w:val="081952B3"/>
    <w:rsid w:val="099F10DB"/>
    <w:rsid w:val="0E033F7A"/>
    <w:rsid w:val="0E4775D9"/>
    <w:rsid w:val="0EE91E83"/>
    <w:rsid w:val="135056C8"/>
    <w:rsid w:val="13C47160"/>
    <w:rsid w:val="140C4DDD"/>
    <w:rsid w:val="146E4BD8"/>
    <w:rsid w:val="158F4327"/>
    <w:rsid w:val="175054C9"/>
    <w:rsid w:val="182C1032"/>
    <w:rsid w:val="1B841D1D"/>
    <w:rsid w:val="1BF22A8E"/>
    <w:rsid w:val="1CDD28FB"/>
    <w:rsid w:val="23A62190"/>
    <w:rsid w:val="23E028CC"/>
    <w:rsid w:val="26356BAE"/>
    <w:rsid w:val="290D27BA"/>
    <w:rsid w:val="292559B5"/>
    <w:rsid w:val="2BB71AA6"/>
    <w:rsid w:val="2D3A48A4"/>
    <w:rsid w:val="30DE4562"/>
    <w:rsid w:val="39AB1468"/>
    <w:rsid w:val="3A587E8F"/>
    <w:rsid w:val="3C72614E"/>
    <w:rsid w:val="3E1901BE"/>
    <w:rsid w:val="403C5749"/>
    <w:rsid w:val="4374368A"/>
    <w:rsid w:val="449E1DC3"/>
    <w:rsid w:val="47C040BF"/>
    <w:rsid w:val="48044450"/>
    <w:rsid w:val="48536283"/>
    <w:rsid w:val="48811DCD"/>
    <w:rsid w:val="4A2000F0"/>
    <w:rsid w:val="4A7D1684"/>
    <w:rsid w:val="4C113543"/>
    <w:rsid w:val="4DD50B0D"/>
    <w:rsid w:val="4EB85956"/>
    <w:rsid w:val="54A70F6B"/>
    <w:rsid w:val="567F608E"/>
    <w:rsid w:val="57D87E20"/>
    <w:rsid w:val="5C0629E9"/>
    <w:rsid w:val="5CFE5FDA"/>
    <w:rsid w:val="60A14592"/>
    <w:rsid w:val="64A5505E"/>
    <w:rsid w:val="6597619F"/>
    <w:rsid w:val="6608232F"/>
    <w:rsid w:val="66EF67B7"/>
    <w:rsid w:val="68816AA3"/>
    <w:rsid w:val="6D147674"/>
    <w:rsid w:val="6D9A2DFC"/>
    <w:rsid w:val="71353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4">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2">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next w:val="8"/>
    <w:qFormat/>
    <w:uiPriority w:val="0"/>
    <w:rPr>
      <w:rFonts w:ascii="宋体" w:hAnsi="Arial"/>
      <w:sz w:val="28"/>
    </w:rPr>
  </w:style>
  <w:style w:type="paragraph" w:styleId="8">
    <w:name w:val="Date"/>
    <w:basedOn w:val="1"/>
    <w:next w:val="1"/>
    <w:qFormat/>
    <w:uiPriority w:val="0"/>
    <w:rPr>
      <w:b/>
      <w:kern w:val="2"/>
      <w:sz w:val="28"/>
    </w:rPr>
  </w:style>
  <w:style w:type="paragraph" w:styleId="9">
    <w:name w:val="Body Text Indent"/>
    <w:basedOn w:val="1"/>
    <w:next w:val="10"/>
    <w:qFormat/>
    <w:uiPriority w:val="0"/>
    <w:pPr>
      <w:ind w:firstLine="645"/>
    </w:pPr>
    <w:rPr>
      <w:rFonts w:ascii="楷体_GB2312" w:eastAsia="楷体_GB2312"/>
      <w:kern w:val="2"/>
      <w:sz w:val="32"/>
      <w:lang w:val="en-US" w:eastAsia="zh-CN" w:bidi="ar-SA"/>
    </w:rPr>
  </w:style>
  <w:style w:type="paragraph" w:styleId="10">
    <w:name w:val="envelope return"/>
    <w:basedOn w:val="1"/>
    <w:qFormat/>
    <w:uiPriority w:val="0"/>
    <w:pPr>
      <w:snapToGrid w:val="0"/>
    </w:pPr>
    <w:rPr>
      <w:rFonts w:ascii="Arial" w:hAnsi="Arial"/>
    </w:rPr>
  </w:style>
  <w:style w:type="paragraph" w:styleId="11">
    <w:name w:val="Body Text Indent 2"/>
    <w:basedOn w:val="1"/>
    <w:qFormat/>
    <w:uiPriority w:val="0"/>
    <w:pPr>
      <w:spacing w:line="360" w:lineRule="exact"/>
      <w:ind w:firstLine="600" w:firstLineChars="250"/>
      <w:jc w:val="left"/>
    </w:pPr>
    <w:rPr>
      <w:sz w:val="24"/>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9"/>
    <w:next w:val="14"/>
    <w:qFormat/>
    <w:uiPriority w:val="0"/>
    <w:pPr>
      <w:ind w:left="420" w:firstLine="420" w:firstLineChars="200"/>
    </w:pPr>
    <w:rPr>
      <w:rFonts w:ascii="Calibri" w:hAnsi="Calibri"/>
      <w:sz w:val="21"/>
      <w:szCs w:val="2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3"/>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4"/>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4194</Words>
  <Characters>4376</Characters>
  <Lines>0</Lines>
  <Paragraphs>0</Paragraphs>
  <TotalTime>2</TotalTime>
  <ScaleCrop>false</ScaleCrop>
  <LinksUpToDate>false</LinksUpToDate>
  <CharactersWithSpaces>5247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流浪诗人ゞ</cp:lastModifiedBy>
  <dcterms:modified xsi:type="dcterms:W3CDTF">2023-04-25T10:44:01Z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A6AD608AB6A5492EB3A4CD3F3F85539B_13</vt:lpwstr>
  </property>
</Properties>
</file>